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 A"/>
      </w:pPr>
      <w:r>
        <w:rPr>
          <w:rtl w:val="0"/>
        </w:rPr>
        <w:t xml:space="preserve"> </w:t>
      </w:r>
    </w:p>
    <w:p>
      <w:pPr>
        <w:pStyle w:val="Corpo A"/>
      </w:pPr>
    </w:p>
    <w:p>
      <w:pPr>
        <w:pStyle w:val="Corpo B"/>
        <w:shd w:val="clear" w:color="auto" w:fill="ffffff"/>
        <w:spacing w:after="200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pt-PT"/>
        </w:rPr>
        <w:t>Tabela 1.</w:t>
      </w:r>
      <w:r>
        <w:rPr>
          <w:sz w:val="22"/>
          <w:szCs w:val="22"/>
          <w:rtl w:val="0"/>
          <w:lang w:val="pt-PT"/>
        </w:rPr>
        <w:t xml:space="preserve"> Caracter</w:t>
      </w:r>
      <w:r>
        <w:rPr>
          <w:sz w:val="22"/>
          <w:szCs w:val="22"/>
          <w:rtl w:val="0"/>
          <w:lang w:val="pt-PT"/>
        </w:rPr>
        <w:t>í</w:t>
      </w:r>
      <w:r>
        <w:rPr>
          <w:sz w:val="22"/>
          <w:szCs w:val="22"/>
          <w:rtl w:val="0"/>
          <w:lang w:val="pt-PT"/>
        </w:rPr>
        <w:t>sticas dos tr</w:t>
      </w:r>
      <w:r>
        <w:rPr>
          <w:sz w:val="22"/>
          <w:szCs w:val="22"/>
          <w:rtl w:val="0"/>
          <w:lang w:val="pt-PT"/>
        </w:rPr>
        <w:t>ê</w:t>
      </w:r>
      <w:r>
        <w:rPr>
          <w:sz w:val="22"/>
          <w:szCs w:val="22"/>
          <w:rtl w:val="0"/>
          <w:lang w:val="pt-PT"/>
        </w:rPr>
        <w:t>s estudos etnobot</w:t>
      </w:r>
      <w:r>
        <w:rPr>
          <w:sz w:val="22"/>
          <w:szCs w:val="22"/>
          <w:rtl w:val="0"/>
          <w:lang w:val="pt-PT"/>
        </w:rPr>
        <w:t>â</w:t>
      </w:r>
      <w:r>
        <w:rPr>
          <w:sz w:val="22"/>
          <w:szCs w:val="22"/>
          <w:rtl w:val="0"/>
          <w:lang w:val="pt-PT"/>
        </w:rPr>
        <w:t>nicos realizados no munic</w:t>
      </w:r>
      <w:r>
        <w:rPr>
          <w:sz w:val="22"/>
          <w:szCs w:val="22"/>
          <w:rtl w:val="0"/>
          <w:lang w:val="pt-PT"/>
        </w:rPr>
        <w:t>í</w:t>
      </w:r>
      <w:r>
        <w:rPr>
          <w:sz w:val="22"/>
          <w:szCs w:val="22"/>
          <w:rtl w:val="0"/>
          <w:lang w:val="pt-PT"/>
        </w:rPr>
        <w:t>pio de Porto Murtinho, Mato Grosso do Sul, contendo per</w:t>
      </w:r>
      <w:r>
        <w:rPr>
          <w:sz w:val="22"/>
          <w:szCs w:val="22"/>
          <w:rtl w:val="0"/>
          <w:lang w:val="pt-PT"/>
        </w:rPr>
        <w:t>í</w:t>
      </w:r>
      <w:r>
        <w:rPr>
          <w:sz w:val="22"/>
          <w:szCs w:val="22"/>
          <w:rtl w:val="0"/>
          <w:lang w:val="pt-PT"/>
        </w:rPr>
        <w:t>odo dos estudos, n</w:t>
      </w:r>
      <w:r>
        <w:rPr>
          <w:sz w:val="22"/>
          <w:szCs w:val="22"/>
          <w:rtl w:val="0"/>
          <w:lang w:val="pt-PT"/>
        </w:rPr>
        <w:t>ú</w:t>
      </w:r>
      <w:r>
        <w:rPr>
          <w:sz w:val="22"/>
          <w:szCs w:val="22"/>
          <w:rtl w:val="0"/>
          <w:lang w:val="pt-PT"/>
        </w:rPr>
        <w:t>mero de entrevistados, grupo entrevistado e t</w:t>
      </w:r>
      <w:r>
        <w:rPr>
          <w:sz w:val="22"/>
          <w:szCs w:val="22"/>
          <w:rtl w:val="0"/>
          <w:lang w:val="pt-PT"/>
        </w:rPr>
        <w:t>é</w:t>
      </w:r>
      <w:r>
        <w:rPr>
          <w:sz w:val="22"/>
          <w:szCs w:val="22"/>
          <w:rtl w:val="0"/>
          <w:lang w:val="pt-PT"/>
        </w:rPr>
        <w:t>cnicas de amostragem.</w:t>
      </w:r>
    </w:p>
    <w:p>
      <w:pPr>
        <w:pStyle w:val="Padrão A"/>
        <w:rPr>
          <w:rFonts w:ascii="Times New Roman" w:cs="Times New Roman" w:hAnsi="Times New Roman" w:eastAsia="Times New Roman"/>
          <w:i w:val="1"/>
          <w:iCs w:val="1"/>
          <w:color w:val="212121"/>
          <w:u w:color="212121"/>
          <w:shd w:val="clear" w:color="auto" w:fill="ffffff"/>
        </w:rPr>
      </w:pPr>
      <w:r>
        <w:rPr>
          <w:rFonts w:ascii="Times New Roman" w:hAnsi="Times New Roman"/>
          <w:b w:val="1"/>
          <w:bCs w:val="1"/>
          <w:i w:val="1"/>
          <w:iCs w:val="1"/>
          <w:color w:val="212121"/>
          <w:u w:color="212121"/>
          <w:shd w:val="clear" w:color="auto" w:fill="ffffff"/>
          <w:rtl w:val="0"/>
          <w:lang w:val="en-US"/>
        </w:rPr>
        <w:t>Table 1.</w:t>
      </w:r>
      <w:r>
        <w:rPr>
          <w:rFonts w:ascii="Times New Roman" w:hAnsi="Times New Roman"/>
          <w:i w:val="1"/>
          <w:iCs w:val="1"/>
          <w:color w:val="212121"/>
          <w:u w:color="212121"/>
          <w:shd w:val="clear" w:color="auto" w:fill="ffffff"/>
          <w:rtl w:val="0"/>
          <w:lang w:val="en-US"/>
        </w:rPr>
        <w:t xml:space="preserve"> Characteristics of the three studies performed in Porto Murtinho municipally, Mato Grosso do Sul, with the period of sampling, number of interviews, interviewed</w:t>
      </w:r>
      <w:r>
        <w:rPr>
          <w:rFonts w:ascii="Times New Roman" w:hAnsi="Times New Roman" w:hint="default"/>
          <w:i w:val="1"/>
          <w:iCs w:val="1"/>
          <w:color w:val="212121"/>
          <w:u w:color="212121"/>
          <w:shd w:val="clear" w:color="auto" w:fill="ffffff"/>
          <w:rtl w:val="0"/>
          <w:lang w:val="en-US"/>
        </w:rPr>
        <w:t> </w:t>
      </w:r>
      <w:r>
        <w:rPr>
          <w:rFonts w:ascii="Times New Roman" w:hAnsi="Times New Roman"/>
          <w:i w:val="1"/>
          <w:iCs w:val="1"/>
          <w:color w:val="212121"/>
          <w:u w:color="212121"/>
          <w:shd w:val="clear" w:color="auto" w:fill="ffffff"/>
          <w:rtl w:val="0"/>
          <w:lang w:val="en-US"/>
        </w:rPr>
        <w:t>group, and techniques of sampling.</w:t>
      </w:r>
    </w:p>
    <w:p>
      <w:pPr>
        <w:pStyle w:val="Padrão A"/>
        <w:rPr>
          <w:rFonts w:ascii="Arial" w:cs="Arial" w:hAnsi="Arial" w:eastAsia="Arial"/>
          <w:color w:val="212121"/>
          <w:sz w:val="26"/>
          <w:szCs w:val="26"/>
          <w:u w:color="212121"/>
          <w:shd w:val="clear" w:color="auto" w:fill="ffffff"/>
        </w:rPr>
      </w:pPr>
    </w:p>
    <w:tbl>
      <w:tblPr>
        <w:tblW w:w="907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350"/>
        <w:gridCol w:w="1350"/>
        <w:gridCol w:w="1110"/>
        <w:gridCol w:w="2925"/>
        <w:gridCol w:w="2340"/>
      </w:tblGrid>
      <w:tr>
        <w:tblPrEx>
          <w:shd w:val="clear" w:color="auto" w:fill="cadfff"/>
        </w:tblPrEx>
        <w:trPr>
          <w:trHeight w:val="1085" w:hRule="atLeast"/>
        </w:trPr>
        <w:tc>
          <w:tcPr>
            <w:tcW w:type="dxa" w:w="135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shd w:val="clear" w:color="auto" w:fill="ffffff"/>
              <w:spacing w:line="276" w:lineRule="auto"/>
              <w:jc w:val="both"/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Identifica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çã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o</w:t>
            </w:r>
          </w:p>
        </w:tc>
        <w:tc>
          <w:tcPr>
            <w:tcW w:type="dxa" w:w="135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Per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í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odo</w:t>
            </w:r>
          </w:p>
        </w:tc>
        <w:tc>
          <w:tcPr>
            <w:tcW w:type="dxa" w:w="111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N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ú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mero de entrevistados</w:t>
            </w:r>
          </w:p>
        </w:tc>
        <w:tc>
          <w:tcPr>
            <w:tcW w:type="dxa" w:w="292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Grupo entrevistado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T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é</w:t>
            </w:r>
            <w:r>
              <w:rPr>
                <w:b w:val="1"/>
                <w:bCs w:val="1"/>
                <w:sz w:val="20"/>
                <w:szCs w:val="20"/>
                <w:rtl w:val="0"/>
                <w:lang w:val="pt-PT"/>
              </w:rPr>
              <w:t>cnica de amostragem</w:t>
            </w:r>
          </w:p>
        </w:tc>
      </w:tr>
      <w:tr>
        <w:tblPrEx>
          <w:shd w:val="clear" w:color="auto" w:fill="cadfff"/>
        </w:tblPrEx>
        <w:trPr>
          <w:trHeight w:val="1943" w:hRule="atLeast"/>
        </w:trPr>
        <w:tc>
          <w:tcPr>
            <w:tcW w:type="dxa" w:w="135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Rural</w:t>
            </w:r>
          </w:p>
        </w:tc>
        <w:tc>
          <w:tcPr>
            <w:tcW w:type="dxa" w:w="135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novembro de 2008 a outubro de 2009</w:t>
            </w:r>
          </w:p>
        </w:tc>
        <w:tc>
          <w:tcPr>
            <w:tcW w:type="dxa" w:w="111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center"/>
            </w:pPr>
            <w:r>
              <w:rPr>
                <w:sz w:val="20"/>
                <w:szCs w:val="20"/>
                <w:rtl w:val="0"/>
                <w:lang w:val="pt-PT"/>
              </w:rPr>
              <w:t>13</w:t>
            </w:r>
          </w:p>
        </w:tc>
        <w:tc>
          <w:tcPr>
            <w:tcW w:type="dxa" w:w="2925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 xml:space="preserve">Moradores de propriedades na </w:t>
            </w:r>
            <w:r>
              <w:rPr>
                <w:sz w:val="20"/>
                <w:szCs w:val="20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rtl w:val="0"/>
                <w:lang w:val="pt-PT"/>
              </w:rPr>
              <w:t>rea rural lim</w:t>
            </w:r>
            <w:r>
              <w:rPr>
                <w:sz w:val="20"/>
                <w:szCs w:val="20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rtl w:val="0"/>
                <w:lang w:val="pt-PT"/>
              </w:rPr>
              <w:t>trofes do entorno dos remanescentes chaquenhos localizados nas proximidades da sede do munic</w:t>
            </w:r>
            <w:r>
              <w:rPr>
                <w:sz w:val="20"/>
                <w:szCs w:val="20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rtl w:val="0"/>
                <w:lang w:val="pt-PT"/>
              </w:rPr>
              <w:t>pio.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T</w:t>
            </w:r>
            <w:r>
              <w:rPr>
                <w:sz w:val="20"/>
                <w:szCs w:val="20"/>
                <w:rtl w:val="0"/>
                <w:lang w:val="pt-PT"/>
              </w:rPr>
              <w:t>é</w:t>
            </w:r>
            <w:r>
              <w:rPr>
                <w:sz w:val="20"/>
                <w:szCs w:val="20"/>
                <w:rtl w:val="0"/>
                <w:lang w:val="pt-PT"/>
              </w:rPr>
              <w:t>cnica bola de neve</w:t>
            </w:r>
          </w:p>
        </w:tc>
      </w:tr>
      <w:tr>
        <w:tblPrEx>
          <w:shd w:val="clear" w:color="auto" w:fill="cadfff"/>
        </w:tblPrEx>
        <w:trPr>
          <w:trHeight w:val="2369" w:hRule="atLeast"/>
        </w:trPr>
        <w:tc>
          <w:tcPr>
            <w:tcW w:type="dxa" w:w="13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Rural e urbano</w:t>
            </w:r>
          </w:p>
        </w:tc>
        <w:tc>
          <w:tcPr>
            <w:tcW w:type="dxa" w:w="13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mar</w:t>
            </w:r>
            <w:r>
              <w:rPr>
                <w:sz w:val="20"/>
                <w:szCs w:val="20"/>
                <w:rtl w:val="0"/>
                <w:lang w:val="pt-PT"/>
              </w:rPr>
              <w:t>ç</w:t>
            </w:r>
            <w:r>
              <w:rPr>
                <w:sz w:val="20"/>
                <w:szCs w:val="20"/>
                <w:rtl w:val="0"/>
                <w:lang w:val="pt-PT"/>
              </w:rPr>
              <w:t>o a setembro de 2013.</w:t>
            </w:r>
          </w:p>
        </w:tc>
        <w:tc>
          <w:tcPr>
            <w:tcW w:type="dxa" w:w="11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center"/>
            </w:pPr>
            <w:r>
              <w:rPr>
                <w:sz w:val="20"/>
                <w:szCs w:val="20"/>
                <w:rtl w:val="0"/>
                <w:lang w:val="pt-PT"/>
              </w:rPr>
              <w:t>43</w:t>
            </w:r>
          </w:p>
        </w:tc>
        <w:tc>
          <w:tcPr>
            <w:tcW w:type="dxa" w:w="29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 xml:space="preserve">Ribeirinhos (margem do rio Paraguai) na </w:t>
            </w:r>
            <w:r>
              <w:rPr>
                <w:sz w:val="20"/>
                <w:szCs w:val="20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rtl w:val="0"/>
                <w:lang w:val="pt-PT"/>
              </w:rPr>
              <w:t>rea rural; pescadores e piloteiros (condutores de lanchas de alum</w:t>
            </w:r>
            <w:r>
              <w:rPr>
                <w:sz w:val="20"/>
                <w:szCs w:val="20"/>
                <w:rtl w:val="0"/>
                <w:lang w:val="pt-PT"/>
              </w:rPr>
              <w:t>í</w:t>
            </w:r>
            <w:r>
              <w:rPr>
                <w:sz w:val="20"/>
                <w:szCs w:val="20"/>
                <w:rtl w:val="0"/>
                <w:lang w:val="pt-PT"/>
              </w:rPr>
              <w:t xml:space="preserve">nio), esses </w:t>
            </w:r>
            <w:r>
              <w:rPr>
                <w:sz w:val="20"/>
                <w:szCs w:val="20"/>
                <w:rtl w:val="0"/>
                <w:lang w:val="pt-PT"/>
              </w:rPr>
              <w:t>ú</w:t>
            </w:r>
            <w:r>
              <w:rPr>
                <w:sz w:val="20"/>
                <w:szCs w:val="20"/>
                <w:rtl w:val="0"/>
                <w:lang w:val="pt-PT"/>
              </w:rPr>
              <w:t xml:space="preserve">ltimos residentes na </w:t>
            </w:r>
            <w:r>
              <w:rPr>
                <w:sz w:val="20"/>
                <w:szCs w:val="20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rtl w:val="0"/>
                <w:lang w:val="pt-PT"/>
              </w:rPr>
              <w:t>rea urbana.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Amostragem intencional e aleat</w:t>
            </w:r>
            <w:r>
              <w:rPr>
                <w:sz w:val="20"/>
                <w:szCs w:val="20"/>
                <w:rtl w:val="0"/>
                <w:lang w:val="pt-PT"/>
              </w:rPr>
              <w:t>ó</w:t>
            </w:r>
            <w:r>
              <w:rPr>
                <w:sz w:val="20"/>
                <w:szCs w:val="20"/>
                <w:rtl w:val="0"/>
                <w:lang w:val="pt-PT"/>
              </w:rPr>
              <w:t>ria.</w:t>
            </w:r>
          </w:p>
        </w:tc>
      </w:tr>
      <w:tr>
        <w:tblPrEx>
          <w:shd w:val="clear" w:color="auto" w:fill="cadfff"/>
        </w:tblPrEx>
        <w:trPr>
          <w:trHeight w:val="2186" w:hRule="atLeast"/>
        </w:trPr>
        <w:tc>
          <w:tcPr>
            <w:tcW w:type="dxa" w:w="13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Urbano</w:t>
            </w:r>
          </w:p>
        </w:tc>
        <w:tc>
          <w:tcPr>
            <w:tcW w:type="dxa" w:w="13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 xml:space="preserve">agosto de 2013 </w:t>
            </w:r>
            <w:r>
              <w:rPr>
                <w:sz w:val="20"/>
                <w:szCs w:val="20"/>
                <w:rtl w:val="0"/>
                <w:lang w:val="pt-PT"/>
              </w:rPr>
              <w:t xml:space="preserve">à </w:t>
            </w:r>
            <w:r>
              <w:rPr>
                <w:sz w:val="20"/>
                <w:szCs w:val="20"/>
                <w:rtl w:val="0"/>
                <w:lang w:val="pt-PT"/>
              </w:rPr>
              <w:t>fevereiro de 2014</w:t>
            </w:r>
          </w:p>
        </w:tc>
        <w:tc>
          <w:tcPr>
            <w:tcW w:type="dxa" w:w="11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center"/>
            </w:pPr>
            <w:r>
              <w:rPr>
                <w:sz w:val="20"/>
                <w:szCs w:val="20"/>
                <w:rtl w:val="0"/>
                <w:lang w:val="pt-PT"/>
              </w:rPr>
              <w:t>50</w:t>
            </w:r>
          </w:p>
        </w:tc>
        <w:tc>
          <w:tcPr>
            <w:tcW w:type="dxa" w:w="29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Moradores de resid</w:t>
            </w:r>
            <w:r>
              <w:rPr>
                <w:sz w:val="20"/>
                <w:szCs w:val="20"/>
                <w:rtl w:val="0"/>
                <w:lang w:val="pt-PT"/>
              </w:rPr>
              <w:t>ê</w:t>
            </w:r>
            <w:r>
              <w:rPr>
                <w:sz w:val="20"/>
                <w:szCs w:val="20"/>
                <w:rtl w:val="0"/>
                <w:lang w:val="pt-PT"/>
              </w:rPr>
              <w:t xml:space="preserve">ncias na </w:t>
            </w:r>
            <w:r>
              <w:rPr>
                <w:sz w:val="20"/>
                <w:szCs w:val="20"/>
                <w:rtl w:val="0"/>
                <w:lang w:val="pt-PT"/>
              </w:rPr>
              <w:t>á</w:t>
            </w:r>
            <w:r>
              <w:rPr>
                <w:sz w:val="20"/>
                <w:szCs w:val="20"/>
                <w:rtl w:val="0"/>
                <w:lang w:val="pt-PT"/>
              </w:rPr>
              <w:t>rea urbana com quintais.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Os quintais foram sorteados utilizando o programa computacional R (R Development Core Team 2011).</w:t>
            </w:r>
          </w:p>
        </w:tc>
      </w:tr>
      <w:tr>
        <w:tblPrEx>
          <w:shd w:val="clear" w:color="auto" w:fill="cadfff"/>
        </w:tblPrEx>
        <w:trPr>
          <w:trHeight w:val="315" w:hRule="atLeast"/>
        </w:trPr>
        <w:tc>
          <w:tcPr>
            <w:tcW w:type="dxa" w:w="135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both"/>
            </w:pPr>
            <w:r>
              <w:rPr>
                <w:sz w:val="20"/>
                <w:szCs w:val="20"/>
                <w:rtl w:val="0"/>
                <w:lang w:val="pt-PT"/>
              </w:rPr>
              <w:t>Total</w:t>
            </w:r>
          </w:p>
        </w:tc>
        <w:tc>
          <w:tcPr>
            <w:tcW w:type="dxa" w:w="135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1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B"/>
              <w:shd w:val="clear" w:color="auto" w:fill="ffffff"/>
              <w:spacing w:line="480" w:lineRule="auto"/>
              <w:jc w:val="center"/>
            </w:pPr>
            <w:r>
              <w:rPr>
                <w:sz w:val="20"/>
                <w:szCs w:val="20"/>
                <w:rtl w:val="0"/>
                <w:lang w:val="pt-PT"/>
              </w:rPr>
              <w:t>106</w:t>
            </w:r>
          </w:p>
        </w:tc>
        <w:tc>
          <w:tcPr>
            <w:tcW w:type="dxa" w:w="2925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4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Padrão A"/>
        <w:widowControl w:val="0"/>
        <w:jc w:val="center"/>
        <w:rPr>
          <w:rFonts w:ascii="Arial" w:cs="Arial" w:hAnsi="Arial" w:eastAsia="Arial"/>
          <w:color w:val="212121"/>
          <w:sz w:val="26"/>
          <w:szCs w:val="26"/>
          <w:u w:color="212121"/>
          <w:shd w:val="clear" w:color="auto" w:fill="ffffff"/>
        </w:rPr>
      </w:pPr>
    </w:p>
    <w:p>
      <w:pPr>
        <w:pStyle w:val="Corpo B"/>
        <w:widowControl w:val="0"/>
        <w:shd w:val="clear" w:color="auto" w:fill="ffffff"/>
        <w:spacing w:after="200"/>
        <w:ind w:left="60" w:hanging="60"/>
        <w:jc w:val="both"/>
        <w:rPr>
          <w:sz w:val="22"/>
          <w:szCs w:val="22"/>
        </w:rPr>
      </w:pPr>
    </w:p>
    <w:p>
      <w:pPr>
        <w:pStyle w:val="Corpo B"/>
        <w:shd w:val="clear" w:color="auto" w:fill="ffffff"/>
        <w:spacing w:after="200" w:line="480" w:lineRule="auto"/>
        <w:ind w:firstLine="700"/>
        <w:jc w:val="both"/>
        <w:rPr>
          <w:sz w:val="22"/>
          <w:szCs w:val="22"/>
        </w:rPr>
      </w:pPr>
    </w:p>
    <w:p>
      <w:pPr>
        <w:pStyle w:val="Corpo A"/>
      </w:pPr>
    </w:p>
    <w:p>
      <w:pPr>
        <w:pStyle w:val="Corpo A"/>
      </w:pPr>
      <w:r>
        <w:rPr>
          <w:rtl w:val="0"/>
        </w:rPr>
        <w:t xml:space="preserve"> 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  <w:style w:type="paragraph" w:styleId="Corpo B">
    <w:name w:val="Corpo B"/>
    <w:next w:val="Corpo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pt-PT"/>
    </w:rPr>
  </w:style>
  <w:style w:type="paragraph" w:styleId="Padrão A">
    <w:name w:val="Padrão A"/>
    <w:next w:val="Padrã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