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CF6B4" w14:textId="77777777" w:rsidR="009526C0" w:rsidRPr="003650BA" w:rsidRDefault="009526C0" w:rsidP="009526C0">
      <w:pPr>
        <w:spacing w:line="480" w:lineRule="auto"/>
        <w:rPr>
          <w:rFonts w:ascii="Times New Roman" w:hAnsi="Times New Roman" w:cs="Times New Roman"/>
          <w:b/>
          <w:bCs/>
          <w:sz w:val="22"/>
          <w:szCs w:val="22"/>
        </w:rPr>
      </w:pPr>
      <w:r w:rsidRPr="003650BA">
        <w:rPr>
          <w:rFonts w:ascii="Times New Roman" w:hAnsi="Times New Roman" w:cs="Times New Roman"/>
          <w:b/>
          <w:bCs/>
          <w:sz w:val="22"/>
          <w:szCs w:val="22"/>
        </w:rPr>
        <w:t>Apêndice 1 - Análises complementares</w:t>
      </w:r>
    </w:p>
    <w:p w14:paraId="17997886" w14:textId="77777777" w:rsidR="00CE3F52" w:rsidRDefault="00CE3F52" w:rsidP="009526C0">
      <w:pPr>
        <w:spacing w:line="480" w:lineRule="auto"/>
        <w:rPr>
          <w:rFonts w:ascii="Times New Roman" w:hAnsi="Times New Roman" w:cs="Times New Roman"/>
          <w:i/>
          <w:sz w:val="22"/>
          <w:szCs w:val="22"/>
        </w:rPr>
      </w:pPr>
    </w:p>
    <w:p w14:paraId="2A97E67A" w14:textId="2DA46A94" w:rsidR="000A3DB2" w:rsidRDefault="000A3DB2" w:rsidP="009526C0">
      <w:pPr>
        <w:spacing w:line="480" w:lineRule="auto"/>
        <w:rPr>
          <w:rFonts w:ascii="Times New Roman" w:hAnsi="Times New Roman" w:cs="Times New Roman"/>
          <w:sz w:val="22"/>
          <w:szCs w:val="22"/>
        </w:rPr>
      </w:pPr>
      <w:r>
        <w:rPr>
          <w:rFonts w:ascii="Times New Roman" w:hAnsi="Times New Roman" w:cs="Times New Roman"/>
          <w:i/>
          <w:sz w:val="22"/>
          <w:szCs w:val="22"/>
        </w:rPr>
        <w:t>Análise RLQ</w:t>
      </w:r>
    </w:p>
    <w:p w14:paraId="09FAA8FC" w14:textId="40F3B13D" w:rsidR="000A3DB2" w:rsidRDefault="000A3DB2" w:rsidP="009526C0">
      <w:pPr>
        <w:spacing w:line="480" w:lineRule="auto"/>
        <w:rPr>
          <w:rFonts w:ascii="Times New Roman" w:hAnsi="Times New Roman" w:cs="Times New Roman"/>
          <w:sz w:val="22"/>
          <w:szCs w:val="22"/>
        </w:rPr>
      </w:pPr>
      <w:r w:rsidRPr="00C55567">
        <w:rPr>
          <w:rFonts w:ascii="Times New Roman" w:hAnsi="Times New Roman" w:cs="Times New Roman"/>
          <w:sz w:val="22"/>
          <w:szCs w:val="22"/>
        </w:rPr>
        <w:t>Outra abordagem desenvolvida para compreender a relação entre composição funcional de comunidades e características ambientais é a an</w:t>
      </w:r>
      <w:r w:rsidRPr="000A3DB2">
        <w:rPr>
          <w:rFonts w:ascii="Times New Roman" w:hAnsi="Times New Roman" w:cs="Times New Roman"/>
          <w:sz w:val="22"/>
          <w:szCs w:val="22"/>
        </w:rPr>
        <w:t>álise RLQ (</w:t>
      </w:r>
      <w:proofErr w:type="spellStart"/>
      <w:r w:rsidRPr="000A3DB2">
        <w:rPr>
          <w:rFonts w:ascii="Times New Roman" w:hAnsi="Times New Roman" w:cs="Times New Roman"/>
          <w:sz w:val="22"/>
          <w:szCs w:val="22"/>
        </w:rPr>
        <w:t>Dol</w:t>
      </w:r>
      <w:r w:rsidRPr="000A3DB2">
        <w:rPr>
          <w:rFonts w:ascii="Times New Roman" w:hAnsi="Times New Roman" w:cs="Times New Roman"/>
        </w:rPr>
        <w:t>é</w:t>
      </w:r>
      <w:r w:rsidRPr="000A3DB2">
        <w:rPr>
          <w:rFonts w:ascii="Times New Roman" w:hAnsi="Times New Roman" w:cs="Times New Roman"/>
          <w:sz w:val="22"/>
          <w:szCs w:val="22"/>
        </w:rPr>
        <w:t>dec</w:t>
      </w:r>
      <w:proofErr w:type="spellEnd"/>
      <w:r w:rsidRPr="000A3DB2">
        <w:rPr>
          <w:rFonts w:ascii="Times New Roman" w:hAnsi="Times New Roman" w:cs="Times New Roman"/>
          <w:sz w:val="22"/>
          <w:szCs w:val="22"/>
        </w:rPr>
        <w:t xml:space="preserve"> </w:t>
      </w:r>
      <w:r w:rsidRPr="000A3DB2">
        <w:rPr>
          <w:rFonts w:ascii="Times New Roman" w:hAnsi="Times New Roman" w:cs="Times New Roman"/>
          <w:i/>
          <w:iCs/>
          <w:sz w:val="22"/>
          <w:szCs w:val="22"/>
        </w:rPr>
        <w:t>et al.</w:t>
      </w:r>
      <w:r w:rsidRPr="000A3DB2">
        <w:rPr>
          <w:rFonts w:ascii="Times New Roman" w:hAnsi="Times New Roman" w:cs="Times New Roman"/>
          <w:sz w:val="22"/>
          <w:szCs w:val="22"/>
        </w:rPr>
        <w:t xml:space="preserve"> 1996). A RLQ não</w:t>
      </w:r>
      <w:r w:rsidRPr="00C55567">
        <w:rPr>
          <w:rFonts w:ascii="Times New Roman" w:hAnsi="Times New Roman" w:cs="Times New Roman"/>
          <w:sz w:val="22"/>
          <w:szCs w:val="22"/>
        </w:rPr>
        <w:t xml:space="preserve"> </w:t>
      </w:r>
      <w:r>
        <w:rPr>
          <w:rFonts w:ascii="Times New Roman" w:hAnsi="Times New Roman" w:cs="Times New Roman"/>
        </w:rPr>
        <w:t>envolve</w:t>
      </w:r>
      <w:r w:rsidRPr="00C55567">
        <w:rPr>
          <w:rFonts w:ascii="Times New Roman" w:hAnsi="Times New Roman" w:cs="Times New Roman"/>
          <w:sz w:val="22"/>
          <w:szCs w:val="22"/>
        </w:rPr>
        <w:t xml:space="preserve"> cálculo de índices, mas sim em uma ordenação baseada em três matrizes: a matriz R, constituída pelas variáveis ambientais nas amostras; a matriz L, com a presença/ausência ou abundância das espécies nas amostras; e a matriz Q, representada pela matriz de atributos funcionais </w:t>
      </w:r>
      <w:r>
        <w:rPr>
          <w:rFonts w:ascii="Times New Roman" w:hAnsi="Times New Roman" w:cs="Times New Roman"/>
        </w:rPr>
        <w:t>d</w:t>
      </w:r>
      <w:r w:rsidRPr="00C55567">
        <w:rPr>
          <w:rFonts w:ascii="Times New Roman" w:hAnsi="Times New Roman" w:cs="Times New Roman"/>
          <w:sz w:val="22"/>
          <w:szCs w:val="22"/>
        </w:rPr>
        <w:t xml:space="preserve">as espécies. A matriz L proporciona a ligação entre as matrizes R e Q e a análise permite detectar padrões de </w:t>
      </w:r>
      <w:proofErr w:type="spellStart"/>
      <w:r w:rsidRPr="00C55567">
        <w:rPr>
          <w:rFonts w:ascii="Times New Roman" w:hAnsi="Times New Roman" w:cs="Times New Roman"/>
          <w:sz w:val="22"/>
          <w:szCs w:val="22"/>
        </w:rPr>
        <w:t>co-relacionamento</w:t>
      </w:r>
      <w:proofErr w:type="spellEnd"/>
      <w:r w:rsidRPr="00C55567">
        <w:rPr>
          <w:rFonts w:ascii="Times New Roman" w:hAnsi="Times New Roman" w:cs="Times New Roman"/>
          <w:sz w:val="22"/>
          <w:szCs w:val="22"/>
        </w:rPr>
        <w:t xml:space="preserve"> entre essas matrizes. Para testar a significância do relacionamento das variáveis ambientais, os estudos têm utilizado a análise do quarto canto (</w:t>
      </w:r>
      <w:proofErr w:type="spellStart"/>
      <w:r w:rsidRPr="001E503F">
        <w:rPr>
          <w:rFonts w:ascii="Times New Roman" w:hAnsi="Times New Roman" w:cs="Times New Roman"/>
          <w:i/>
          <w:iCs/>
          <w:sz w:val="22"/>
          <w:szCs w:val="22"/>
        </w:rPr>
        <w:t>Fourth</w:t>
      </w:r>
      <w:proofErr w:type="spellEnd"/>
      <w:r w:rsidRPr="001E503F">
        <w:rPr>
          <w:rFonts w:ascii="Times New Roman" w:hAnsi="Times New Roman" w:cs="Times New Roman"/>
          <w:i/>
          <w:iCs/>
          <w:sz w:val="22"/>
          <w:szCs w:val="22"/>
        </w:rPr>
        <w:t xml:space="preserve"> corner</w:t>
      </w:r>
      <w:r w:rsidRPr="00C55567">
        <w:rPr>
          <w:rFonts w:ascii="Times New Roman" w:hAnsi="Times New Roman" w:cs="Times New Roman"/>
          <w:sz w:val="22"/>
          <w:szCs w:val="22"/>
        </w:rPr>
        <w:t xml:space="preserve">; </w:t>
      </w:r>
      <w:proofErr w:type="spellStart"/>
      <w:r w:rsidRPr="00C55567">
        <w:rPr>
          <w:rFonts w:ascii="Times New Roman" w:hAnsi="Times New Roman" w:cs="Times New Roman"/>
          <w:sz w:val="22"/>
          <w:szCs w:val="22"/>
        </w:rPr>
        <w:t>Dray</w:t>
      </w:r>
      <w:proofErr w:type="spellEnd"/>
      <w:r w:rsidRPr="00C55567">
        <w:rPr>
          <w:rFonts w:ascii="Times New Roman" w:hAnsi="Times New Roman" w:cs="Times New Roman"/>
          <w:sz w:val="22"/>
          <w:szCs w:val="22"/>
        </w:rPr>
        <w:t xml:space="preserve"> </w:t>
      </w:r>
      <w:r w:rsidRPr="00C9319B">
        <w:rPr>
          <w:rFonts w:ascii="Times New Roman" w:hAnsi="Times New Roman" w:cs="Times New Roman"/>
          <w:i/>
          <w:iCs/>
          <w:sz w:val="22"/>
          <w:szCs w:val="22"/>
        </w:rPr>
        <w:t>et al.</w:t>
      </w:r>
      <w:r w:rsidRPr="00C55567">
        <w:rPr>
          <w:rFonts w:ascii="Times New Roman" w:hAnsi="Times New Roman" w:cs="Times New Roman"/>
          <w:sz w:val="22"/>
          <w:szCs w:val="22"/>
        </w:rPr>
        <w:t xml:space="preserve"> 2014), ou testes de associação entre os eixos da RLQ com os dados originais dos atributos (</w:t>
      </w:r>
      <w:proofErr w:type="spellStart"/>
      <w:r w:rsidRPr="00C55567">
        <w:rPr>
          <w:rFonts w:ascii="Times New Roman" w:hAnsi="Times New Roman" w:cs="Times New Roman"/>
          <w:sz w:val="22"/>
          <w:szCs w:val="22"/>
        </w:rPr>
        <w:t>Vallet</w:t>
      </w:r>
      <w:proofErr w:type="spellEnd"/>
      <w:r w:rsidRPr="00C55567">
        <w:rPr>
          <w:rFonts w:ascii="Times New Roman" w:hAnsi="Times New Roman" w:cs="Times New Roman"/>
          <w:sz w:val="22"/>
          <w:szCs w:val="22"/>
        </w:rPr>
        <w:t xml:space="preserve"> </w:t>
      </w:r>
      <w:r w:rsidRPr="00C9319B">
        <w:rPr>
          <w:rFonts w:ascii="Times New Roman" w:hAnsi="Times New Roman" w:cs="Times New Roman"/>
          <w:i/>
          <w:iCs/>
          <w:sz w:val="22"/>
          <w:szCs w:val="22"/>
        </w:rPr>
        <w:t>et al.</w:t>
      </w:r>
      <w:r w:rsidRPr="00C55567">
        <w:rPr>
          <w:rFonts w:ascii="Times New Roman" w:hAnsi="Times New Roman" w:cs="Times New Roman"/>
          <w:sz w:val="22"/>
          <w:szCs w:val="22"/>
        </w:rPr>
        <w:t xml:space="preserve"> 2010). Dentre alguns estudos que aplicaram a RLQ para a ictiofauna de riachos no Brasil, destacam-se Ribeiro </w:t>
      </w:r>
      <w:r w:rsidRPr="00C9319B">
        <w:rPr>
          <w:rFonts w:ascii="Times New Roman" w:hAnsi="Times New Roman" w:cs="Times New Roman"/>
          <w:i/>
          <w:iCs/>
          <w:sz w:val="22"/>
          <w:szCs w:val="22"/>
        </w:rPr>
        <w:t>et al.</w:t>
      </w:r>
      <w:r w:rsidRPr="00C55567">
        <w:rPr>
          <w:rFonts w:ascii="Times New Roman" w:hAnsi="Times New Roman" w:cs="Times New Roman"/>
          <w:sz w:val="22"/>
          <w:szCs w:val="22"/>
        </w:rPr>
        <w:t xml:space="preserve"> (201</w:t>
      </w:r>
      <w:r w:rsidR="00B83443">
        <w:rPr>
          <w:rFonts w:ascii="Times New Roman" w:hAnsi="Times New Roman" w:cs="Times New Roman"/>
          <w:sz w:val="22"/>
          <w:szCs w:val="22"/>
        </w:rPr>
        <w:t>6</w:t>
      </w:r>
      <w:r w:rsidRPr="00C55567">
        <w:rPr>
          <w:rFonts w:ascii="Times New Roman" w:hAnsi="Times New Roman" w:cs="Times New Roman"/>
          <w:sz w:val="22"/>
          <w:szCs w:val="22"/>
        </w:rPr>
        <w:t xml:space="preserve">), Zeni </w:t>
      </w:r>
      <w:r w:rsidRPr="00C9319B">
        <w:rPr>
          <w:rFonts w:ascii="Times New Roman" w:hAnsi="Times New Roman" w:cs="Times New Roman"/>
          <w:i/>
          <w:iCs/>
          <w:sz w:val="22"/>
          <w:szCs w:val="22"/>
        </w:rPr>
        <w:t>et al.</w:t>
      </w:r>
      <w:r w:rsidRPr="00C55567">
        <w:rPr>
          <w:rFonts w:ascii="Times New Roman" w:hAnsi="Times New Roman" w:cs="Times New Roman"/>
          <w:sz w:val="22"/>
          <w:szCs w:val="22"/>
        </w:rPr>
        <w:t xml:space="preserve"> 2019 e Santos </w:t>
      </w:r>
      <w:r w:rsidRPr="00C9319B">
        <w:rPr>
          <w:rFonts w:ascii="Times New Roman" w:hAnsi="Times New Roman" w:cs="Times New Roman"/>
          <w:i/>
          <w:iCs/>
          <w:sz w:val="22"/>
          <w:szCs w:val="22"/>
        </w:rPr>
        <w:t>et al.</w:t>
      </w:r>
      <w:r w:rsidRPr="00C55567">
        <w:rPr>
          <w:rFonts w:ascii="Times New Roman" w:hAnsi="Times New Roman" w:cs="Times New Roman"/>
          <w:sz w:val="22"/>
          <w:szCs w:val="22"/>
        </w:rPr>
        <w:t xml:space="preserve"> (2019).</w:t>
      </w:r>
    </w:p>
    <w:p w14:paraId="280A2FCB" w14:textId="77777777" w:rsidR="000A3DB2" w:rsidRDefault="000A3DB2" w:rsidP="009526C0">
      <w:pPr>
        <w:spacing w:line="480" w:lineRule="auto"/>
        <w:rPr>
          <w:rFonts w:ascii="Times New Roman" w:hAnsi="Times New Roman" w:cs="Times New Roman"/>
          <w:i/>
          <w:sz w:val="22"/>
          <w:szCs w:val="22"/>
        </w:rPr>
      </w:pPr>
    </w:p>
    <w:p w14:paraId="7BCC1C5D" w14:textId="77777777" w:rsidR="009526C0" w:rsidRPr="00764CAD" w:rsidRDefault="009526C0" w:rsidP="009526C0">
      <w:pPr>
        <w:spacing w:line="480" w:lineRule="auto"/>
        <w:rPr>
          <w:rFonts w:ascii="Times New Roman" w:hAnsi="Times New Roman" w:cs="Times New Roman"/>
          <w:i/>
          <w:sz w:val="22"/>
          <w:szCs w:val="22"/>
        </w:rPr>
      </w:pPr>
      <w:r w:rsidRPr="00764CAD">
        <w:rPr>
          <w:rFonts w:ascii="Times New Roman" w:hAnsi="Times New Roman" w:cs="Times New Roman"/>
          <w:i/>
          <w:sz w:val="22"/>
          <w:szCs w:val="22"/>
        </w:rPr>
        <w:t>Modelos nulos</w:t>
      </w:r>
    </w:p>
    <w:p w14:paraId="6069061B" w14:textId="6C6C2F1C" w:rsidR="009526C0" w:rsidRPr="003650BA" w:rsidRDefault="009526C0" w:rsidP="009526C0">
      <w:pPr>
        <w:spacing w:line="480" w:lineRule="auto"/>
        <w:rPr>
          <w:rFonts w:ascii="Times New Roman" w:hAnsi="Times New Roman" w:cs="Times New Roman"/>
          <w:iCs/>
          <w:sz w:val="22"/>
          <w:szCs w:val="22"/>
        </w:rPr>
      </w:pPr>
      <w:r w:rsidRPr="003650BA">
        <w:rPr>
          <w:rFonts w:ascii="Times New Roman" w:hAnsi="Times New Roman" w:cs="Times New Roman"/>
          <w:iCs/>
          <w:sz w:val="22"/>
          <w:szCs w:val="22"/>
        </w:rPr>
        <w:t xml:space="preserve">Os índices de diversidade funcional são informativos por si só. No entanto, procedimentos de randomizações podem ser utilizados para testar os padrões observados podem ser explicados por processos ecológicos particulares ou meramente pelo acaso. Estamos falando dos modelos nulos </w:t>
      </w:r>
      <w:r w:rsidRPr="003650BA">
        <w:rPr>
          <w:rFonts w:ascii="Times New Roman" w:hAnsi="Times New Roman" w:cs="Times New Roman"/>
          <w:iCs/>
          <w:sz w:val="22"/>
          <w:szCs w:val="22"/>
        </w:rPr>
        <w:fldChar w:fldCharType="begin" w:fldLock="1"/>
      </w:r>
      <w:r w:rsidRPr="003650BA">
        <w:rPr>
          <w:rFonts w:ascii="Times New Roman" w:hAnsi="Times New Roman" w:cs="Times New Roman"/>
          <w:iCs/>
          <w:sz w:val="22"/>
          <w:szCs w:val="22"/>
        </w:rPr>
        <w:instrText>ADDIN CSL_CITATION {"citationItems":[{"id":"ITEM-1","itemData":{"ISBN":"9789896540821","ISSN":"00223530","PMID":"25246403","author":[{"dropping-particle":"","family":"Gotelli","given":"N.J.","non-dropping-particle":"","parse-names":false,"suffix":""},{"dropping-particle":"","family":"Graves","given":"R.G.","non-dropping-particle":"","parse-names":false,"suffix":""}],"id":"ITEM-1","issued":{"date-parts":[["1996"]]},"number-of-pages":"368","publisher":"Smithsonian","title":"Null models in ecology","type":"book"},"uris":["http://www.mendeley.com/documents/?uuid=11b1e6bd-c7e9-4df0-9fb8-5e16a21178e6"]}],"mendeley":{"formattedCitation":"(Gotelli &amp; Graves 1996)","plainTextFormattedCitation":"(Gotelli &amp; Graves 1996)","previouslyFormattedCitation":"(Gotelli &amp; Graves 1996)"},"properties":{"noteIndex":0},"schema":"https://github.com/citation-style-language/schema/raw/master/csl-citation.json"}</w:instrText>
      </w:r>
      <w:r w:rsidRPr="003650BA">
        <w:rPr>
          <w:rFonts w:ascii="Times New Roman" w:hAnsi="Times New Roman" w:cs="Times New Roman"/>
          <w:iCs/>
          <w:sz w:val="22"/>
          <w:szCs w:val="22"/>
        </w:rPr>
        <w:fldChar w:fldCharType="separate"/>
      </w:r>
      <w:r w:rsidRPr="003650BA">
        <w:rPr>
          <w:rFonts w:ascii="Times New Roman" w:hAnsi="Times New Roman" w:cs="Times New Roman"/>
          <w:iCs/>
          <w:noProof/>
          <w:sz w:val="22"/>
          <w:szCs w:val="22"/>
        </w:rPr>
        <w:t>(Gotelli &amp; Graves 1996)</w:t>
      </w:r>
      <w:r w:rsidRPr="003650BA">
        <w:rPr>
          <w:rFonts w:ascii="Times New Roman" w:hAnsi="Times New Roman" w:cs="Times New Roman"/>
          <w:iCs/>
          <w:sz w:val="22"/>
          <w:szCs w:val="22"/>
        </w:rPr>
        <w:fldChar w:fldCharType="end"/>
      </w:r>
      <w:r w:rsidRPr="003650BA">
        <w:rPr>
          <w:rFonts w:ascii="Times New Roman" w:hAnsi="Times New Roman" w:cs="Times New Roman"/>
          <w:iCs/>
          <w:sz w:val="22"/>
          <w:szCs w:val="22"/>
        </w:rPr>
        <w:t xml:space="preserve">, em que são geradas comunidades hipotéticas a partir da aleatorização da matriz original (comunidades observadas). Por exemplo, podemos simular comunidades onde a importância de seleção de nicho seja mínima; i.e., montagem das comunidades nulas ocorre independentemente dos atributos funcionais das espécies. Tais comunidades nulas podem ser utilizadas para testar a importância da seleção nicho em estruturar as comunidades reais. </w:t>
      </w:r>
    </w:p>
    <w:p w14:paraId="381C306C" w14:textId="49EB2998" w:rsidR="009526C0" w:rsidRPr="003650BA" w:rsidRDefault="009526C0" w:rsidP="009526C0">
      <w:pPr>
        <w:spacing w:line="480" w:lineRule="auto"/>
        <w:rPr>
          <w:rFonts w:ascii="Times New Roman" w:hAnsi="Times New Roman" w:cs="Times New Roman"/>
          <w:sz w:val="22"/>
          <w:szCs w:val="22"/>
        </w:rPr>
      </w:pPr>
      <w:r w:rsidRPr="003650BA">
        <w:rPr>
          <w:rFonts w:ascii="Times New Roman" w:hAnsi="Times New Roman" w:cs="Times New Roman"/>
          <w:sz w:val="22"/>
          <w:szCs w:val="22"/>
        </w:rPr>
        <w:t>A construção de modelos nulos pode ser resumida em cinco passos principais (Fig</w:t>
      </w:r>
      <w:r w:rsidR="00290341">
        <w:rPr>
          <w:rFonts w:ascii="Times New Roman" w:hAnsi="Times New Roman" w:cs="Times New Roman"/>
          <w:sz w:val="22"/>
          <w:szCs w:val="22"/>
        </w:rPr>
        <w:t>.</w:t>
      </w:r>
      <w:r w:rsidRPr="003650BA">
        <w:rPr>
          <w:rFonts w:ascii="Times New Roman" w:hAnsi="Times New Roman" w:cs="Times New Roman"/>
          <w:sz w:val="22"/>
          <w:szCs w:val="22"/>
        </w:rPr>
        <w:t xml:space="preserve"> </w:t>
      </w:r>
      <w:r w:rsidR="00290341">
        <w:rPr>
          <w:rFonts w:ascii="Times New Roman" w:hAnsi="Times New Roman" w:cs="Times New Roman"/>
          <w:sz w:val="22"/>
          <w:szCs w:val="22"/>
        </w:rPr>
        <w:t>A1</w:t>
      </w:r>
      <w:r w:rsidRPr="003650BA">
        <w:rPr>
          <w:rFonts w:ascii="Times New Roman" w:hAnsi="Times New Roman" w:cs="Times New Roman"/>
          <w:sz w:val="22"/>
          <w:szCs w:val="22"/>
        </w:rPr>
        <w:t xml:space="preserve">): </w:t>
      </w:r>
    </w:p>
    <w:p w14:paraId="2C7A6751" w14:textId="77777777" w:rsidR="009526C0" w:rsidRPr="003650BA" w:rsidRDefault="009526C0" w:rsidP="009526C0">
      <w:pPr>
        <w:pStyle w:val="PargrafodaLista"/>
        <w:numPr>
          <w:ilvl w:val="0"/>
          <w:numId w:val="1"/>
        </w:numPr>
        <w:spacing w:after="160" w:line="480" w:lineRule="auto"/>
        <w:ind w:left="0"/>
        <w:rPr>
          <w:rFonts w:ascii="Times New Roman" w:hAnsi="Times New Roman" w:cs="Times New Roman"/>
          <w:sz w:val="22"/>
          <w:szCs w:val="22"/>
        </w:rPr>
      </w:pPr>
      <w:r w:rsidRPr="003650BA">
        <w:rPr>
          <w:rFonts w:ascii="Times New Roman" w:hAnsi="Times New Roman" w:cs="Times New Roman"/>
          <w:sz w:val="22"/>
          <w:szCs w:val="22"/>
        </w:rPr>
        <w:lastRenderedPageBreak/>
        <w:t>Inicialmente é necessário calcular um índice de diversidade funcional a partir da matriz original de ocorrência das espécies e de atributos funcionais;</w:t>
      </w:r>
    </w:p>
    <w:p w14:paraId="6EDA5E39" w14:textId="682617EB" w:rsidR="009526C0" w:rsidRPr="003650BA" w:rsidRDefault="009526C0" w:rsidP="009526C0">
      <w:pPr>
        <w:pStyle w:val="PargrafodaLista"/>
        <w:numPr>
          <w:ilvl w:val="0"/>
          <w:numId w:val="1"/>
        </w:numPr>
        <w:spacing w:after="160" w:line="480" w:lineRule="auto"/>
        <w:ind w:left="0"/>
        <w:rPr>
          <w:rFonts w:ascii="Times New Roman" w:hAnsi="Times New Roman" w:cs="Times New Roman"/>
          <w:sz w:val="22"/>
          <w:szCs w:val="22"/>
        </w:rPr>
      </w:pPr>
      <w:r w:rsidRPr="003650BA">
        <w:rPr>
          <w:rFonts w:ascii="Times New Roman" w:hAnsi="Times New Roman" w:cs="Times New Roman"/>
          <w:sz w:val="22"/>
          <w:szCs w:val="22"/>
        </w:rPr>
        <w:t xml:space="preserve">Em seguida, </w:t>
      </w:r>
      <w:proofErr w:type="spellStart"/>
      <w:r w:rsidRPr="003650BA">
        <w:rPr>
          <w:rFonts w:ascii="Times New Roman" w:hAnsi="Times New Roman" w:cs="Times New Roman"/>
          <w:sz w:val="22"/>
          <w:szCs w:val="22"/>
        </w:rPr>
        <w:t>aleatorizamos</w:t>
      </w:r>
      <w:proofErr w:type="spellEnd"/>
      <w:r w:rsidRPr="003650BA">
        <w:rPr>
          <w:rFonts w:ascii="Times New Roman" w:hAnsi="Times New Roman" w:cs="Times New Roman"/>
          <w:sz w:val="22"/>
          <w:szCs w:val="22"/>
        </w:rPr>
        <w:t xml:space="preserve"> as comunidades observadas para construir comunidades nulas. Esse representa o passo mais importante para a realização de modelos nulos e consiste em determinar a forma mais apropriada de se montar comunidades nulas, que pode ser a de ocorrência das espécies ou de seus atributos funcionais, a partir do </w:t>
      </w:r>
      <w:r w:rsidRPr="003650BA">
        <w:rPr>
          <w:rFonts w:ascii="Times New Roman" w:hAnsi="Times New Roman" w:cs="Times New Roman"/>
          <w:i/>
          <w:iCs/>
          <w:sz w:val="22"/>
          <w:szCs w:val="22"/>
        </w:rPr>
        <w:t>pool</w:t>
      </w:r>
      <w:r w:rsidRPr="003650BA">
        <w:rPr>
          <w:rFonts w:ascii="Times New Roman" w:hAnsi="Times New Roman" w:cs="Times New Roman"/>
          <w:sz w:val="22"/>
          <w:szCs w:val="22"/>
        </w:rPr>
        <w:t xml:space="preserve">. Isso se torna ainda mais desafiador em vista à grande diversidade de métodos disponíveis na literatura, mas um ótimo ponto de partida pode ser encontrado em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{"citationItems":[{"id":"ITEM-1","itemData":{"ISBN":"0012-9658","abstract":"The analysis of presence-absence matrices with ''null model'' randomization tests has been a major source of controversy in community ecology for over two decades. In this paper, I systematically compare the performance of nine null model algorithms and four co-occurrence indices with respect to Type I and Type II errors. The nine algorithms differ in whether rows and columns are treated as fixed sums, equiprobable, or proportional. The three models that maintain fixed row sums are invulnerable to Type I errors (false positives). One of these three is a modified version of the original algorithm of E. F. Conner and D. Simberloff. Of the four co-occurrence indices, the number of checkerboard combinations and the number of species combinations may be prone to Type II errors (false negatives), and may not reveal significant patterns in noisy data sets. L. Stone and A. Robert's checkerboard score has good power for detecting species pairs that do nut co-occur together frequently, whereas D. Schluter's V ratio reveals nonrandom patterns in the row and column totals of the matrix. Degenerate matrices (matrices with empty rows or columns) do not. Greatly alter the outcome of null model analyses. The choice of an appropriate null model and index may depend on whether the data represent classic ''island lists'' of species in an archipelago or standardized ''sample lists'' of species collected with equal sampling effort. Systematic examination of a set of related null models can pinpoint how violation of the assumptions of the model contributes to nonrandom patterns.","author":[{"dropping-particle":"","family":"Gotelli","given":"N.J.","non-dropping-particle":"","parse-names":false,"suffix":""}],"container-title":"Ecology","id":"ITEM-1","issue":"9","issued":{"date-parts":[["2000"]]},"page":"2606-2621","title":"Null model analysis of species co-occurrence patterns","type":"article-journal","volume":"81"},"uris":["http://www.mendeley.com/documents/?uuid=ffa29c16-8379-4e6f-99ff-ba8cbd2a4bf8"]}],"mendeley":{"formattedCitation":"(Gotelli 2000)","manualFormatting":"Gotelli (2000)","plainTextFormattedCitation":"(Gotelli 2000)","previouslyFormattedCitation":"(Gotelli 2000)"},"properties":{"noteIndex":0},"schema":"https://github.com/citation-style-language/schema/raw/master/csl-citation.json"}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Gotelli (2000)</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 xml:space="preserve"> e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ISBN":"1461495415","author":[{"dropping-particle":"","family":"Swenson","given":"N.G.","non-dropping-particle":"","parse-names":false,"suffix":""}],"id":"ITEM-1","issued":{"date-parts":[["2014"]]},"number-of-pages":"212","publisher":"Springer","publisher-place":"New York","title":"Functional and phylogenetic ecology in R","type":"book"},"uris":["http://www.mendeley.com/documents/?uuid=b09479bd-9400-4f69-a08f-8daa33827668"]}],"mendeley":{"formattedCitation":"(Swenson 2014)","manualFormatting":"Swenson (2014)","plainTextFormattedCitation":"(Swenson 2014)","previouslyFormattedCitation":"(Swenson 2014)"},"properties":{"noteIndex":0},"schema":"https://github.com/citation-style-language/schema/raw/master/csl-citation.json"}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Swenson (2014)</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w:t>
      </w:r>
    </w:p>
    <w:p w14:paraId="4A5D9BB4" w14:textId="77777777" w:rsidR="009526C0" w:rsidRPr="003650BA" w:rsidRDefault="009526C0" w:rsidP="009526C0">
      <w:pPr>
        <w:pStyle w:val="PargrafodaLista"/>
        <w:numPr>
          <w:ilvl w:val="0"/>
          <w:numId w:val="1"/>
        </w:numPr>
        <w:spacing w:after="160" w:line="480" w:lineRule="auto"/>
        <w:ind w:left="0"/>
        <w:rPr>
          <w:rFonts w:ascii="Times New Roman" w:hAnsi="Times New Roman" w:cs="Times New Roman"/>
          <w:sz w:val="22"/>
          <w:szCs w:val="22"/>
        </w:rPr>
      </w:pPr>
      <w:r w:rsidRPr="003650BA">
        <w:rPr>
          <w:rFonts w:ascii="Times New Roman" w:hAnsi="Times New Roman" w:cs="Times New Roman"/>
          <w:sz w:val="22"/>
          <w:szCs w:val="22"/>
        </w:rPr>
        <w:t>Após a criação da comunidade nula devemos calcular o mesmo índice de diversidade calculado para as matrizes originais (passo i);</w:t>
      </w:r>
    </w:p>
    <w:p w14:paraId="042B30EB" w14:textId="187084DD" w:rsidR="009526C0" w:rsidRPr="003650BA" w:rsidRDefault="009526C0" w:rsidP="009526C0">
      <w:pPr>
        <w:pStyle w:val="PargrafodaLista"/>
        <w:numPr>
          <w:ilvl w:val="0"/>
          <w:numId w:val="1"/>
        </w:numPr>
        <w:spacing w:after="160" w:line="480" w:lineRule="auto"/>
        <w:ind w:left="0"/>
        <w:rPr>
          <w:rFonts w:ascii="Times New Roman" w:hAnsi="Times New Roman" w:cs="Times New Roman"/>
          <w:sz w:val="22"/>
          <w:szCs w:val="22"/>
        </w:rPr>
      </w:pPr>
      <w:r w:rsidRPr="003650BA">
        <w:rPr>
          <w:rFonts w:ascii="Times New Roman" w:hAnsi="Times New Roman" w:cs="Times New Roman"/>
          <w:sz w:val="22"/>
          <w:szCs w:val="22"/>
        </w:rPr>
        <w:t xml:space="preserve">Os passos </w:t>
      </w:r>
      <w:proofErr w:type="spellStart"/>
      <w:r w:rsidRPr="003650BA">
        <w:rPr>
          <w:rFonts w:ascii="Times New Roman" w:hAnsi="Times New Roman" w:cs="Times New Roman"/>
          <w:sz w:val="22"/>
          <w:szCs w:val="22"/>
        </w:rPr>
        <w:t>ii</w:t>
      </w:r>
      <w:proofErr w:type="spellEnd"/>
      <w:r w:rsidRPr="003650BA">
        <w:rPr>
          <w:rFonts w:ascii="Times New Roman" w:hAnsi="Times New Roman" w:cs="Times New Roman"/>
          <w:sz w:val="22"/>
          <w:szCs w:val="22"/>
        </w:rPr>
        <w:t xml:space="preserve"> e </w:t>
      </w:r>
      <w:proofErr w:type="spellStart"/>
      <w:r w:rsidRPr="003650BA">
        <w:rPr>
          <w:rFonts w:ascii="Times New Roman" w:hAnsi="Times New Roman" w:cs="Times New Roman"/>
          <w:sz w:val="22"/>
          <w:szCs w:val="22"/>
        </w:rPr>
        <w:t>iii</w:t>
      </w:r>
      <w:proofErr w:type="spellEnd"/>
      <w:r w:rsidRPr="003650BA">
        <w:rPr>
          <w:rFonts w:ascii="Times New Roman" w:hAnsi="Times New Roman" w:cs="Times New Roman"/>
          <w:sz w:val="22"/>
          <w:szCs w:val="22"/>
        </w:rPr>
        <w:t xml:space="preserve"> devem ser repetidos inúmeras vezes (em geral 1000) para gerar um conjunto de comunidades nulas com as quais as comunidades originais são comparadas;</w:t>
      </w:r>
    </w:p>
    <w:p w14:paraId="080069C3" w14:textId="2FA5DABE" w:rsidR="009526C0" w:rsidRPr="003650BA" w:rsidRDefault="009526C0" w:rsidP="009526C0">
      <w:pPr>
        <w:pStyle w:val="PargrafodaLista"/>
        <w:numPr>
          <w:ilvl w:val="0"/>
          <w:numId w:val="1"/>
        </w:numPr>
        <w:spacing w:after="160" w:line="480" w:lineRule="auto"/>
        <w:ind w:left="0"/>
        <w:rPr>
          <w:rFonts w:ascii="Times New Roman" w:hAnsi="Times New Roman" w:cs="Times New Roman"/>
          <w:sz w:val="22"/>
          <w:szCs w:val="22"/>
        </w:rPr>
      </w:pPr>
      <w:r w:rsidRPr="003650BA">
        <w:rPr>
          <w:rFonts w:ascii="Times New Roman" w:hAnsi="Times New Roman" w:cs="Times New Roman"/>
          <w:sz w:val="22"/>
          <w:szCs w:val="22"/>
        </w:rPr>
        <w:t xml:space="preserve">Por fim, deve-se posicionar os valores da métrica de interesse obtidos para a matriz original (passo i) dentro da distribuição de frequência dos valores obtidos para as comunidades nulas (passo </w:t>
      </w:r>
      <w:proofErr w:type="spellStart"/>
      <w:r w:rsidRPr="003650BA">
        <w:rPr>
          <w:rFonts w:ascii="Times New Roman" w:hAnsi="Times New Roman" w:cs="Times New Roman"/>
          <w:sz w:val="22"/>
          <w:szCs w:val="22"/>
        </w:rPr>
        <w:t>iii</w:t>
      </w:r>
      <w:proofErr w:type="spellEnd"/>
      <w:r w:rsidRPr="003650BA">
        <w:rPr>
          <w:rFonts w:ascii="Times New Roman" w:hAnsi="Times New Roman" w:cs="Times New Roman"/>
          <w:sz w:val="22"/>
          <w:szCs w:val="22"/>
        </w:rPr>
        <w:t xml:space="preserve">). Se os valores observados são localizados nos extremos da distribuição de frequência (&lt; 2,5% ou &gt; 97,5%) podemos concluir que o processo de interesse, que gerou as comunidades nulas, potencialmente não explica os dados reais. </w:t>
      </w:r>
    </w:p>
    <w:p w14:paraId="12E60EC5" w14:textId="77777777" w:rsidR="009526C0" w:rsidRPr="003650BA" w:rsidRDefault="009526C0" w:rsidP="009526C0">
      <w:pPr>
        <w:keepNext/>
        <w:spacing w:line="480" w:lineRule="auto"/>
        <w:ind w:firstLine="709"/>
        <w:jc w:val="center"/>
        <w:rPr>
          <w:rFonts w:ascii="Times New Roman" w:hAnsi="Times New Roman" w:cs="Times New Roman"/>
          <w:sz w:val="22"/>
          <w:szCs w:val="22"/>
        </w:rPr>
      </w:pPr>
      <w:r w:rsidRPr="003650BA">
        <w:rPr>
          <w:rFonts w:ascii="Times New Roman" w:hAnsi="Times New Roman" w:cs="Times New Roman"/>
          <w:noProof/>
          <w:sz w:val="22"/>
          <w:szCs w:val="22"/>
        </w:rPr>
        <w:lastRenderedPageBreak/>
        <w:drawing>
          <wp:inline distT="0" distB="0" distL="0" distR="0" wp14:anchorId="072A7B3E" wp14:editId="03C6B911">
            <wp:extent cx="3340725" cy="5400000"/>
            <wp:effectExtent l="0" t="0" r="0" b="0"/>
            <wp:docPr id="23" name="Imagem 23" descr="Uma imagem contendo placa, display,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o_nulo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40725" cy="5400000"/>
                    </a:xfrm>
                    <a:prstGeom prst="rect">
                      <a:avLst/>
                    </a:prstGeom>
                  </pic:spPr>
                </pic:pic>
              </a:graphicData>
            </a:graphic>
          </wp:inline>
        </w:drawing>
      </w:r>
    </w:p>
    <w:p w14:paraId="1ED1667F" w14:textId="7801264A" w:rsidR="009526C0" w:rsidRPr="003650BA" w:rsidRDefault="009526C0" w:rsidP="009526C0">
      <w:pPr>
        <w:pStyle w:val="Legenda"/>
        <w:spacing w:line="480" w:lineRule="auto"/>
        <w:rPr>
          <w:rFonts w:ascii="Times New Roman" w:hAnsi="Times New Roman" w:cs="Times New Roman"/>
          <w:i w:val="0"/>
          <w:color w:val="auto"/>
          <w:sz w:val="22"/>
          <w:szCs w:val="22"/>
          <w:lang w:val="pt-BR"/>
        </w:rPr>
      </w:pPr>
      <w:r w:rsidRPr="003650BA">
        <w:rPr>
          <w:rFonts w:ascii="Times New Roman" w:hAnsi="Times New Roman" w:cs="Times New Roman"/>
          <w:i w:val="0"/>
          <w:color w:val="auto"/>
          <w:sz w:val="22"/>
          <w:szCs w:val="22"/>
          <w:lang w:val="pt-BR"/>
        </w:rPr>
        <w:t xml:space="preserve">Figura </w:t>
      </w:r>
      <w:r w:rsidR="00290341">
        <w:rPr>
          <w:rFonts w:ascii="Times New Roman" w:hAnsi="Times New Roman" w:cs="Times New Roman"/>
          <w:i w:val="0"/>
          <w:color w:val="auto"/>
          <w:sz w:val="22"/>
          <w:szCs w:val="22"/>
          <w:lang w:val="pt-BR"/>
        </w:rPr>
        <w:t>A1</w:t>
      </w:r>
      <w:r w:rsidRPr="003650BA">
        <w:rPr>
          <w:rFonts w:ascii="Times New Roman" w:hAnsi="Times New Roman" w:cs="Times New Roman"/>
          <w:i w:val="0"/>
          <w:color w:val="auto"/>
          <w:sz w:val="22"/>
          <w:szCs w:val="22"/>
          <w:lang w:val="pt-BR"/>
        </w:rPr>
        <w:t xml:space="preserve">. Representação esquemática dos cinco principais passos necessários para a construção de um modelo nulo (vide texto). </w:t>
      </w:r>
    </w:p>
    <w:p w14:paraId="6255E230" w14:textId="2FC35CEC" w:rsidR="009526C0" w:rsidRPr="003650BA" w:rsidRDefault="009526C0" w:rsidP="009526C0">
      <w:pPr>
        <w:spacing w:line="480" w:lineRule="auto"/>
        <w:rPr>
          <w:rFonts w:ascii="Times New Roman" w:hAnsi="Times New Roman" w:cs="Times New Roman"/>
          <w:sz w:val="22"/>
          <w:szCs w:val="22"/>
        </w:rPr>
      </w:pPr>
      <w:r w:rsidRPr="003650BA">
        <w:rPr>
          <w:rFonts w:ascii="Times New Roman" w:hAnsi="Times New Roman" w:cs="Times New Roman"/>
          <w:sz w:val="22"/>
          <w:szCs w:val="22"/>
        </w:rPr>
        <w:t xml:space="preserve">De fato, a utilização de modelos nulos em conjunto com índices de diversidade funcional tem sido de grande valia para o melhor entendimento de processos ecológicos. Exemplos recentes aplicados para a ictiofauna de riachos brasileiros têm evidenciado a importância de espécies raras nos padrões regionais de diversidade funcional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{"citationItems":[{"id":"ITEM-1","itemData":{"DOI":"10.1098/rspb.2016.0084","ISSN":"0962-8452","abstract":"There is broad consensus that the diversity of functional traits within species assemblages drives several ecological processes. It is also widely recognized that rare species are the first to become extinct following human-induced disturbances. Surprisingly, however, the functional importance of rare species is still poorly understood, particularly in tropical species-rich assemblages where the majority of species are rare, and the rate of species extinction can be high. Here, we investigated the consequences of local and regional extinctions on the functional structure of species assemblages. We used three extensive datasets (stream fish from the Brazilian Amazon, rainforest trees from French Guiana, and birds from the Australian Wet Tropics) and built an integrative measure of species rarity versuscommonness, combining local abundance, geographical range, andhabitat breadth. Using different scenarios of species loss, we found a disproportionate impact of rare species extinction for the three groups, with significant reductions in levels of functional richness, specialization, and originality of assemblages, which may severely undermine the integrity of ecological processes. The whole breadth of functional abilities within species assemblages, which is disproportionately supported by rare species, is certainly critical in maintaining ecosystems particularly under the ongoing rapid environmental transitions.","author":[{"dropping-particle":"","family":"Leitão","given":"Rafael P.","non-dropping-particle":"","parse-names":false,"suffix":""},{"dropping-particle":"","family":"Zuanon","given":"Jansen","non-dropping-particle":"","parse-names":false,"suffix":""},{"dropping-particle":"","family":"Villéger","given":"Sébastien","non-dropping-particle":"","parse-names":false,"suffix":""},{"dropping-particle":"","family":"Williams","given":"Stephen E.","non-dropping-particle":"","parse-names":false,"suffix":""},{"dropping-particle":"","family":"Baraloto","given":"Christopher","non-dropping-particle":"","parse-names":false,"suffix":""},{"dropping-particle":"","family":"Fortunel","given":"Claire","non-dropping-particle":"","parse-names":false,"suffix":""},{"dropping-particle":"","family":"Mendonça","given":"Fernando P.","non-dropping-particle":"","parse-names":false,"suffix":""},{"dropping-particle":"","family":"Mouillot","given":"David","non-dropping-particle":"","parse-names":false,"suffix":""}],"container-title":"Proceedings of the Royal Society B: Biological Sciences","id":"ITEM-1","issue":"1828","issued":{"date-parts":[["2016","4","13"]]},"page":"20160084","title":"Rare species contribute disproportionately to the functional structure of species assemblages","type":"article-journal","volume":"283"},"uris":["http://www.mendeley.com/documents/?uuid=31281df6-50d4-4dd9-a464-292430e34579"]}],"mendeley":{"formattedCitation":"(Leitão &lt;i&gt;et al.&lt;/i&gt; 2016)","plainTextFormattedCitation":"(Leitão et al. 2016)","previouslyFormattedCitation":"(Leitão &lt;i&gt;et al.&lt;/i&gt; 2016)"},"properties":{"noteIndex":0},"schema":"https://github.com/citation-style-language/schema/raw/master/csl-citation.json"}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 xml:space="preserve">(Leitão </w:t>
      </w:r>
      <w:r w:rsidRPr="003650BA">
        <w:rPr>
          <w:rFonts w:ascii="Times New Roman" w:hAnsi="Times New Roman" w:cs="Times New Roman"/>
          <w:i/>
          <w:noProof/>
          <w:sz w:val="22"/>
          <w:szCs w:val="22"/>
        </w:rPr>
        <w:t>et al.</w:t>
      </w:r>
      <w:r w:rsidRPr="003650BA">
        <w:rPr>
          <w:rFonts w:ascii="Times New Roman" w:hAnsi="Times New Roman" w:cs="Times New Roman"/>
          <w:noProof/>
          <w:sz w:val="22"/>
          <w:szCs w:val="22"/>
        </w:rPr>
        <w:t xml:space="preserve"> 2016)</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 xml:space="preserve">, consequências de distúrbios históricos na estrutura funcional de comunidades locais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{"citationItems":[{"id":"ITEM-1","itemData":{"DOI":"10.1111/jbi.13205","ISSN":"13652699","abstract":"Aim: Disturbances are events that influence the structure of biological assemblages, yet how historical disturbances have affected the functional structure of recent assemblages is still poorly known. We used species functional traits to investigate the effects of historical disturbances, such as past climate change (aridification), on the current structure of stream fish assemblages. Location: Amazon Basin and Brazilian Northeast streams. Methods: We used measures of functional specialization and originality to assess the effects of historical disturbances on the structure of fish assemblages in streams with similar local environmental conditions in each biome (Amazonia and Caatinga). For this, we measured 15 traits related to locomotion, feeding and habitat use for each species sampled. We then compared the functional structure of each assemblage expressed as functional richness (FRic) and evenness (FEve) between biomes. We also used structured and random simulations of species extinctions to identify the influence of the loss of original and specialized species due to historical disturbance. Results: We found high levels of functional specialization in Amazonia (historically more stable) and redundancy in Caatinga (higher frequency of historical disturbances) regional assemblages, regardless of the inter-biome differences in species richness. These results were also detected in local assemblages, suggesting that the effect of historical disturbances influences the structure of fish assemblages, both at small and large spatial scales. Main conclusions: The historical stability in Amazonian fish assemblages may have favoured a higher taxonomic and FRic, as well as greater functional specialization and originality, compared to Caatinga assemblages. Our results reinforce the importance of understanding and evaluating the evolutionary history of ecosystems in order to describe the current functional structure of species assemblages.","author":[{"dropping-particle":"","family":"Rodrigues-Filho","given":"C.A.S.","non-dropping-particle":"","parse-names":false,"suffix":""},{"dropping-particle":"","family":"Leitão","given":"R.P.","non-dropping-particle":"","parse-names":false,"suffix":""},{"dropping-particle":"","family":"Zuanon","given":"J.","non-dropping-particle":"","parse-names":false,"suffix":""},{"dropping-particle":"","family":"Sánchez-Botero","given":"J.I.","non-dropping-particle":"","parse-names":false,"suffix":""},{"dropping-particle":"","family":"Baccaro","given":"F.B.","non-dropping-particle":"","parse-names":false,"suffix":""}],"container-title":"Journal of Biogeography","id":"ITEM-1","issue":"6","issued":{"date-parts":[["2018"]]},"page":"1345-1354","title":"Historical stability promoted higher functional specialization and originality in Neotropical stream fish assemblages","type":"article-journal","volume":"45"},"uris":["http://www.mendeley.com/documents/?uuid=0f94dd9d-8b59-4a50-9a62-9eb401554bbe"]}],"mendeley":{"formattedCitation":"(Rodrigues-Filho &lt;i&gt;et al.&lt;/i&gt; 2018)","plainTextFormattedCitation":"(Rodrigues-Filho et al. 2018)","previouslyFormattedCitation":"(Rodrigues-Filho &lt;i&gt;et al.&lt;/i&gt; 2018)"},"properties":{"noteIndex":0},"schema":"https://github.com/citation-style-language/schema/raw/master/csl-citation.json"}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 xml:space="preserve">(Rodrigues-Filho </w:t>
      </w:r>
      <w:r w:rsidRPr="003650BA">
        <w:rPr>
          <w:rFonts w:ascii="Times New Roman" w:hAnsi="Times New Roman" w:cs="Times New Roman"/>
          <w:i/>
          <w:noProof/>
          <w:sz w:val="22"/>
          <w:szCs w:val="22"/>
        </w:rPr>
        <w:t>et al.</w:t>
      </w:r>
      <w:r w:rsidRPr="003650BA">
        <w:rPr>
          <w:rFonts w:ascii="Times New Roman" w:hAnsi="Times New Roman" w:cs="Times New Roman"/>
          <w:noProof/>
          <w:sz w:val="22"/>
          <w:szCs w:val="22"/>
        </w:rPr>
        <w:t xml:space="preserve"> 2018)</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 xml:space="preserve">, importância de processos determinísticos (e.g. seleção de nicho)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{"citationItems":[{"id":"ITEM-1","itemData":{"DOI":"10.1111/fwb.13233","ISSN":"00465070","abstract":"A multi-faceted assessment of diversity is needed to improve our understanding of the mechanisms underlying biodiversity patterns and to reveal the impacts of land use alterations on β-diversity. In this study, we analysed stream fish β-diversity based on taxonomic, functional, and phylogenetic facets in an intensively cultivated tropical region. We sampled 43 stream reaches in the northwest of São Paulo State, south-eastern Brazil. Each sampling site was characterised according to catchment-scale features, landscape dynamic indicators, local-scale features, and distance between stream reaches as network distance (a proxy for dispersal processes). As response variables, we considered taxonomic, functional, and phylogenetic β-diversities coupled with a null-model approach. For each β-diversity metric, we calculated the mean overall value and tested whether the mean value was different from that expected by chance. To examine variation in β-diversity for the three facets and determine the relative contributions of predictor variables, we used a distance-based approach. Taxonomic and functional β-diversities were higher from the expected value under a null model, suggesting that community assembly of these facets was dominated by deterministic processes. In contrast, phylogenetic β-diversity was not different from that expected by chance, suggesting that the lineage composition of these assemblages was random. Furthermore, for all three facets, there was a positive environment-β-diversity relationship that was determined primarily by local-scale features, whereas catchment features and landscape dynamic indicators were not important. In addition, none of the β-diversity facets was correlated with stream network distance, indicating that dispersal processes were not strongly structuring fish assemblages. Our study suggested that although multiple facets of stream fish β-diversity are ruled mainly by deterministic processes (e.g. species sorting), stochasticity is also important in community assembly. An interesting finding was the mismatch between phylogenetic versus taxonomic and functional β-diversity. It is likely that the lack of non-random structure in phylogenetic β-diversity is due to the variation of phylogenetic signal in some functional traits. Given that landscape dynamic indicators were not correlated with measures of β-diversity, we suggest that the recent sugarcane expansion in our study area probably has not critically affected stream fish β-…","author":[{"dropping-particle":"","family":"Roa-Fuentes","given":"C.A.","non-dropping-particle":"","parse-names":false,"suffix":""},{"dropping-particle":"","family":"Heino","given":"J.","non-dropping-particle":"","parse-names":false,"suffix":""},{"dropping-particle":"","family":"Cianciaruso","given":"M.V.","non-dropping-particle":"","parse-names":false,"suffix":""},{"dropping-particle":"","family":"Ferraz","given":"S.","non-dropping-particle":"","parse-names":false,"suffix":""},{"dropping-particle":"","family":"Zeni","given":"J.O.","non-dropping-particle":"","parse-names":false,"suffix":""},{"dropping-particle":"","family":"Casatti","given":"L.","non-dropping-particle":"","parse-names":false,"suffix":""}],"container-title":"Freshwater Biology","id":"ITEM-1","issue":"3","issued":{"date-parts":[["2019","3"]]},"page":"447-460","title":"Taxonomic, functional, and phylogenetic β-diversity patterns of stream fish assemblages in tropical agroecosystems","type":"article-journal","volume":"64"},"uris":["http://www.mendeley.com/documents/?uuid=c06c0cd9-8f87-4ccf-b5d8-8039a2c4dcba"]}],"mendeley":{"formattedCitation":"(Roa-Fuentes &lt;i&gt;et al.&lt;/i&gt; 2019)","plainTextFormattedCitation":"(Roa-Fuentes et al. 2019)","previouslyFormattedCitation":"(Roa-Fuentes &lt;i&gt;et al.&lt;/i&gt; 2019)"},"properties":{"noteIndex":0},"schema":"https://github.com/citation-style-language/schema/raw/master/csl-citation.json"}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 xml:space="preserve">(Roa-Fuentes </w:t>
      </w:r>
      <w:r w:rsidRPr="003650BA">
        <w:rPr>
          <w:rFonts w:ascii="Times New Roman" w:hAnsi="Times New Roman" w:cs="Times New Roman"/>
          <w:i/>
          <w:noProof/>
          <w:sz w:val="22"/>
          <w:szCs w:val="22"/>
        </w:rPr>
        <w:t>et al.</w:t>
      </w:r>
      <w:r w:rsidRPr="003650BA">
        <w:rPr>
          <w:rFonts w:ascii="Times New Roman" w:hAnsi="Times New Roman" w:cs="Times New Roman"/>
          <w:noProof/>
          <w:sz w:val="22"/>
          <w:szCs w:val="22"/>
        </w:rPr>
        <w:t xml:space="preserve"> 2019)</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 xml:space="preserve"> e consequências de exploração de espécies ornamentais </w:t>
      </w:r>
      <w:r w:rsidRPr="003650BA">
        <w:rPr>
          <w:rFonts w:ascii="Times New Roman" w:hAnsi="Times New Roman" w:cs="Times New Roman"/>
          <w:sz w:val="22"/>
          <w:szCs w:val="22"/>
        </w:rPr>
        <w:fldChar w:fldCharType="begin" w:fldLock="1"/>
      </w:r>
      <w:r w:rsidRPr="003650BA">
        <w:rPr>
          <w:rFonts w:ascii="Times New Roman" w:hAnsi="Times New Roman" w:cs="Times New Roman"/>
          <w:sz w:val="22"/>
          <w:szCs w:val="22"/>
        </w:rPr>
        <w:instrText>ADDIN CSL_CITATION {"citationItems":[{"id":"ITEM-1","itemData":{"DOI":"10.1111/eff.12524","ISSN":"0906-6691","abstract":"The consequences of over-exploitation may seriously impair the integrity and functioning of ecosystems. When loss of species is accompanied by the loss of ecological processes, the effects are no longer just taxonomic and may affect the stability of the environments. Ornamental fishing is one of the main economic activities of the middle Negro River. Such activity is directed to a small number of species and has the Cardinal Tetra (Paracheirodon axelrodi) as the main target species. Given the potential effects this pressure and the lack of information on its consequences, the present study analysed, through simulations, the possible effects of depletion of ornamental fish populations on the functional structure of fish assemblages, represented by functional diversity (FD) and functional redundancy (FR) indexes. We sampled 13 streams exploited by the ornamental fishery, where we collected 4,286 specimens of 110 species, of which 22 were targeted as ornamental fishing. We found that the ornamental species corresponded, on average, to 27.8% of the species and 33.3% of the FD of the assemblages. In a scenario of complete exclusion of ornamental species, local communities would lose 24.6% of the FD and reduce up to 12% of the FR. With these results, it is possible to infer that the local extinction of exploited species would cause negative impacts on the multifunctionality and the resilience of the streams ecosystems. In this way, we emphasise the need for proper management of the ornamental fisheries aiming to the sustainability of the activity and to the conservation of ecosystem functionality.","author":[{"dropping-particle":"","family":"Castanho","given":"Danilo G. R.","non-dropping-particle":"","parse-names":false,"suffix":""},{"dropping-particle":"","family":"Deus","given":"Cláudia P.","non-dropping-particle":"","parse-names":false,"suffix":""},{"dropping-particle":"","family":"Zuanon","given":"Jansen","non-dropping-particle":"","parse-names":false,"suffix":""},{"dropping-particle":"","family":"Santorelli","given":"Sergio","non-dropping-particle":"","parse-names":false,"suffix":""},{"dropping-particle":"","family":"Leitão","given":"Rafael P.","non-dropping-particle":"","parse-names":false,"suffix":""},{"dropping-particle":"","family":"Teresa","given":"Fabrício B.","non-dropping-particle":"","parse-names":false,"suffix":""}],"container-title":"Ecology of Freshwater Fish","id":"ITEM-1","issue":"December","issued":{"date-parts":[["2019","12","29"]]},"page":"eff.12524","title":"Simulation of over‐exploitation of ornamental fish and its consequences for the functional structure of assemblages of Amazonian streams","type":"article-journal"},"uris":["http://www.mendeley.com/documents/?uuid=fd5f4de6-68f4-405c-ab92-6f0bdc935259"]}],"mendeley":{"formattedCitation":"(Castanho &lt;i&gt;et al.&lt;/i&gt; 2019)","plainTextFormattedCitation":"(Castanho et al. 2019)","previouslyFormattedCitation":"(Castanho &lt;i&gt;et al.&lt;/i&gt; 2019)"},"properties":{"noteIndex":0},"schema":"https://github.com/citation-style-language/schema/raw/master/csl-citation.json"}</w:instrText>
      </w:r>
      <w:r w:rsidRPr="003650BA">
        <w:rPr>
          <w:rFonts w:ascii="Times New Roman" w:hAnsi="Times New Roman" w:cs="Times New Roman"/>
          <w:sz w:val="22"/>
          <w:szCs w:val="22"/>
        </w:rPr>
        <w:fldChar w:fldCharType="separate"/>
      </w:r>
      <w:r w:rsidRPr="003650BA">
        <w:rPr>
          <w:rFonts w:ascii="Times New Roman" w:hAnsi="Times New Roman" w:cs="Times New Roman"/>
          <w:noProof/>
          <w:sz w:val="22"/>
          <w:szCs w:val="22"/>
        </w:rPr>
        <w:t xml:space="preserve">(Castanho </w:t>
      </w:r>
      <w:r w:rsidRPr="003650BA">
        <w:rPr>
          <w:rFonts w:ascii="Times New Roman" w:hAnsi="Times New Roman" w:cs="Times New Roman"/>
          <w:i/>
          <w:noProof/>
          <w:sz w:val="22"/>
          <w:szCs w:val="22"/>
        </w:rPr>
        <w:t>et al.</w:t>
      </w:r>
      <w:r w:rsidRPr="003650BA">
        <w:rPr>
          <w:rFonts w:ascii="Times New Roman" w:hAnsi="Times New Roman" w:cs="Times New Roman"/>
          <w:noProof/>
          <w:sz w:val="22"/>
          <w:szCs w:val="22"/>
        </w:rPr>
        <w:t xml:space="preserve"> 2020)</w:t>
      </w:r>
      <w:r w:rsidRPr="003650BA">
        <w:rPr>
          <w:rFonts w:ascii="Times New Roman" w:hAnsi="Times New Roman" w:cs="Times New Roman"/>
          <w:sz w:val="22"/>
          <w:szCs w:val="22"/>
        </w:rPr>
        <w:fldChar w:fldCharType="end"/>
      </w:r>
      <w:r w:rsidRPr="003650BA">
        <w:rPr>
          <w:rFonts w:ascii="Times New Roman" w:hAnsi="Times New Roman" w:cs="Times New Roman"/>
          <w:sz w:val="22"/>
          <w:szCs w:val="22"/>
        </w:rPr>
        <w:t xml:space="preserve">. </w:t>
      </w:r>
    </w:p>
    <w:p w14:paraId="13D3334B" w14:textId="2035B5E0" w:rsidR="009526C0" w:rsidRPr="003650BA" w:rsidRDefault="009526C0" w:rsidP="009526C0">
      <w:pPr>
        <w:spacing w:line="480" w:lineRule="auto"/>
        <w:rPr>
          <w:rFonts w:ascii="Times New Roman" w:hAnsi="Times New Roman" w:cs="Times New Roman"/>
          <w:sz w:val="22"/>
          <w:szCs w:val="22"/>
        </w:rPr>
      </w:pPr>
      <w:r w:rsidRPr="003650BA">
        <w:rPr>
          <w:rFonts w:ascii="Times New Roman" w:hAnsi="Times New Roman" w:cs="Times New Roman"/>
          <w:sz w:val="22"/>
          <w:szCs w:val="22"/>
        </w:rPr>
        <w:lastRenderedPageBreak/>
        <w:t xml:space="preserve">Os resultados obtidos por modelos nulos também podem ser comparados entre diferentes estudos com a utilização do tamanho de efeito padronizado (do inglês </w:t>
      </w:r>
      <w:r w:rsidRPr="003650BA">
        <w:rPr>
          <w:rFonts w:ascii="Times New Roman" w:hAnsi="Times New Roman" w:cs="Times New Roman"/>
          <w:i/>
          <w:sz w:val="22"/>
          <w:szCs w:val="22"/>
        </w:rPr>
        <w:t>SES</w:t>
      </w:r>
      <w:r w:rsidRPr="003650BA">
        <w:rPr>
          <w:rFonts w:ascii="Times New Roman" w:hAnsi="Times New Roman" w:cs="Times New Roman"/>
          <w:sz w:val="22"/>
          <w:szCs w:val="22"/>
        </w:rPr>
        <w:t>):</w:t>
      </w:r>
    </w:p>
    <w:p w14:paraId="28636E48" w14:textId="77777777" w:rsidR="009526C0" w:rsidRPr="003650BA" w:rsidRDefault="009526C0" w:rsidP="009526C0">
      <w:pPr>
        <w:spacing w:line="480" w:lineRule="auto"/>
        <w:ind w:firstLine="708"/>
        <w:rPr>
          <w:rFonts w:ascii="Times New Roman" w:hAnsi="Times New Roman" w:cs="Times New Roman"/>
          <w:sz w:val="22"/>
          <w:szCs w:val="22"/>
        </w:rPr>
      </w:pPr>
    </w:p>
    <w:p w14:paraId="098A962D" w14:textId="6C741AD1" w:rsidR="009526C0" w:rsidRPr="003650BA" w:rsidRDefault="009526C0" w:rsidP="009526C0">
      <w:pPr>
        <w:spacing w:line="480" w:lineRule="auto"/>
        <w:ind w:firstLine="708"/>
        <w:rPr>
          <w:rFonts w:ascii="Times New Roman" w:hAnsi="Times New Roman" w:cs="Times New Roman"/>
          <w:sz w:val="22"/>
          <w:szCs w:val="22"/>
        </w:rPr>
      </w:pPr>
      <m:oMathPara>
        <m:oMath>
          <m:r>
            <w:rPr>
              <w:rFonts w:ascii="Cambria Math" w:hAnsi="Cambria Math" w:cs="Times New Roman"/>
              <w:sz w:val="22"/>
              <w:szCs w:val="22"/>
            </w:rPr>
            <m:t>SES=</m:t>
          </m:r>
          <m:f>
            <m:fPr>
              <m:ctrlPr>
                <w:rPr>
                  <w:rFonts w:ascii="Cambria Math" w:hAnsi="Cambria Math" w:cs="Times New Roman"/>
                  <w:i/>
                  <w:sz w:val="22"/>
                  <w:szCs w:val="22"/>
                </w:rPr>
              </m:ctrlPr>
            </m:fPr>
            <m:num>
              <m:r>
                <w:rPr>
                  <w:rFonts w:ascii="Cambria Math" w:hAnsi="Cambria Math" w:cs="Times New Roman"/>
                  <w:sz w:val="22"/>
                  <w:szCs w:val="22"/>
                </w:rPr>
                <m:t>ínice de DF observado-média DFs calculados para comunidades nulas</m:t>
              </m:r>
            </m:num>
            <m:den>
              <m:r>
                <w:rPr>
                  <w:rFonts w:ascii="Cambria Math" w:hAnsi="Cambria Math" w:cs="Times New Roman"/>
                  <w:sz w:val="22"/>
                  <w:szCs w:val="22"/>
                </w:rPr>
                <m:t xml:space="preserve">desvio padrão DFs das comunidades nulas </m:t>
              </m:r>
            </m:den>
          </m:f>
          <m:r>
            <w:rPr>
              <w:rFonts w:ascii="Cambria Math" w:hAnsi="Cambria Math" w:cs="Times New Roman"/>
              <w:sz w:val="22"/>
              <w:szCs w:val="22"/>
            </w:rPr>
            <m:t xml:space="preserve">  </m:t>
          </m:r>
        </m:oMath>
      </m:oMathPara>
    </w:p>
    <w:p w14:paraId="24B003E8" w14:textId="77777777" w:rsidR="009526C0" w:rsidRPr="003650BA" w:rsidRDefault="009526C0" w:rsidP="009526C0">
      <w:pPr>
        <w:spacing w:line="480" w:lineRule="auto"/>
        <w:ind w:firstLine="708"/>
        <w:rPr>
          <w:rFonts w:ascii="Times New Roman" w:hAnsi="Times New Roman" w:cs="Times New Roman"/>
          <w:sz w:val="22"/>
          <w:szCs w:val="22"/>
        </w:rPr>
      </w:pPr>
    </w:p>
    <w:p w14:paraId="0F92A0AB" w14:textId="77777777" w:rsidR="009526C0" w:rsidRPr="003650BA" w:rsidRDefault="009526C0" w:rsidP="009526C0">
      <w:pPr>
        <w:spacing w:line="480" w:lineRule="auto"/>
        <w:rPr>
          <w:rFonts w:ascii="Times New Roman" w:hAnsi="Times New Roman" w:cs="Times New Roman"/>
          <w:sz w:val="22"/>
          <w:szCs w:val="22"/>
        </w:rPr>
      </w:pPr>
      <w:r w:rsidRPr="003650BA">
        <w:rPr>
          <w:rFonts w:ascii="Times New Roman" w:hAnsi="Times New Roman" w:cs="Times New Roman"/>
          <w:sz w:val="22"/>
          <w:szCs w:val="22"/>
        </w:rPr>
        <w:t>O SES serve como uma medida de afastamento do valor observado em relação ao que seria esperado ao acaso. Valores de SES distantes de zero (positivos ou negativos) indicam que o valor observado difere do que seria esperado pelo processo ecológico simulado. Convencionalmente, valores de SES acima de 1,96 e abaixo de -1,96 são considerados significativos, em um nível de significância de 5%.</w:t>
      </w:r>
    </w:p>
    <w:p w14:paraId="34235509" w14:textId="7CAA222A" w:rsidR="00981651" w:rsidRPr="003650BA" w:rsidRDefault="00981651">
      <w:pPr>
        <w:rPr>
          <w:rFonts w:ascii="Times New Roman" w:hAnsi="Times New Roman" w:cs="Times New Roman"/>
          <w:sz w:val="22"/>
          <w:szCs w:val="22"/>
        </w:rPr>
      </w:pPr>
    </w:p>
    <w:p w14:paraId="25EDA35D" w14:textId="45DBEC45" w:rsidR="003650BA" w:rsidRPr="00CE3F52" w:rsidRDefault="003650BA">
      <w:pPr>
        <w:rPr>
          <w:rFonts w:ascii="Times New Roman" w:hAnsi="Times New Roman" w:cs="Times New Roman"/>
          <w:b/>
          <w:bCs/>
          <w:sz w:val="22"/>
          <w:szCs w:val="22"/>
        </w:rPr>
      </w:pPr>
      <w:r w:rsidRPr="00CE3F52">
        <w:rPr>
          <w:rFonts w:ascii="Times New Roman" w:hAnsi="Times New Roman" w:cs="Times New Roman"/>
          <w:b/>
          <w:bCs/>
          <w:sz w:val="22"/>
          <w:szCs w:val="22"/>
        </w:rPr>
        <w:t>Referências</w:t>
      </w:r>
    </w:p>
    <w:p w14:paraId="2103E6FD" w14:textId="77777777" w:rsidR="002E44F9" w:rsidRPr="00CE3F52" w:rsidRDefault="002E44F9">
      <w:pPr>
        <w:rPr>
          <w:rFonts w:ascii="Times New Roman" w:hAnsi="Times New Roman" w:cs="Times New Roman"/>
          <w:b/>
          <w:bCs/>
          <w:sz w:val="22"/>
          <w:szCs w:val="22"/>
        </w:rPr>
      </w:pPr>
    </w:p>
    <w:p w14:paraId="2B3B04DD" w14:textId="5CBA8B86" w:rsidR="000A3DB2" w:rsidRPr="00CE3F52" w:rsidRDefault="000A3DB2" w:rsidP="000A3DB2">
      <w:pPr>
        <w:widowControl w:val="0"/>
        <w:autoSpaceDE w:val="0"/>
        <w:autoSpaceDN w:val="0"/>
        <w:adjustRightInd w:val="0"/>
        <w:spacing w:line="360" w:lineRule="auto"/>
        <w:ind w:left="480" w:hanging="480"/>
        <w:rPr>
          <w:rFonts w:ascii="Times New Roman" w:hAnsi="Times New Roman" w:cs="Times New Roman"/>
          <w:noProof/>
          <w:sz w:val="22"/>
          <w:szCs w:val="22"/>
          <w:lang w:val="en-US"/>
        </w:rPr>
      </w:pPr>
      <w:proofErr w:type="spellStart"/>
      <w:r w:rsidRPr="0029440D">
        <w:rPr>
          <w:rFonts w:ascii="Times New Roman" w:hAnsi="Times New Roman" w:cs="Times New Roman"/>
          <w:sz w:val="22"/>
          <w:szCs w:val="22"/>
        </w:rPr>
        <w:t>Dolédec</w:t>
      </w:r>
      <w:proofErr w:type="spellEnd"/>
      <w:r w:rsidRPr="0029440D">
        <w:rPr>
          <w:rFonts w:ascii="Times New Roman" w:hAnsi="Times New Roman" w:cs="Times New Roman"/>
          <w:sz w:val="22"/>
          <w:szCs w:val="22"/>
        </w:rPr>
        <w:t xml:space="preserve">, S., </w:t>
      </w:r>
      <w:proofErr w:type="spellStart"/>
      <w:r w:rsidRPr="0029440D">
        <w:rPr>
          <w:rFonts w:ascii="Times New Roman" w:hAnsi="Times New Roman" w:cs="Times New Roman"/>
          <w:sz w:val="22"/>
          <w:szCs w:val="22"/>
        </w:rPr>
        <w:t>Chessel</w:t>
      </w:r>
      <w:proofErr w:type="spellEnd"/>
      <w:r w:rsidRPr="0029440D">
        <w:rPr>
          <w:rFonts w:ascii="Times New Roman" w:hAnsi="Times New Roman" w:cs="Times New Roman"/>
          <w:sz w:val="22"/>
          <w:szCs w:val="22"/>
        </w:rPr>
        <w:t xml:space="preserve">, D., ter </w:t>
      </w:r>
      <w:proofErr w:type="spellStart"/>
      <w:r w:rsidRPr="0029440D">
        <w:rPr>
          <w:rFonts w:ascii="Times New Roman" w:hAnsi="Times New Roman" w:cs="Times New Roman"/>
          <w:sz w:val="22"/>
          <w:szCs w:val="22"/>
        </w:rPr>
        <w:t>Braak</w:t>
      </w:r>
      <w:proofErr w:type="spellEnd"/>
      <w:r w:rsidRPr="0029440D">
        <w:rPr>
          <w:rFonts w:ascii="Times New Roman" w:hAnsi="Times New Roman" w:cs="Times New Roman"/>
          <w:sz w:val="22"/>
          <w:szCs w:val="22"/>
        </w:rPr>
        <w:t xml:space="preserve">, C. J. C., &amp; </w:t>
      </w:r>
      <w:proofErr w:type="spellStart"/>
      <w:r w:rsidRPr="0029440D">
        <w:rPr>
          <w:rFonts w:ascii="Times New Roman" w:hAnsi="Times New Roman" w:cs="Times New Roman"/>
          <w:sz w:val="22"/>
          <w:szCs w:val="22"/>
        </w:rPr>
        <w:t>Champely</w:t>
      </w:r>
      <w:proofErr w:type="spellEnd"/>
      <w:r w:rsidRPr="0029440D">
        <w:rPr>
          <w:rFonts w:ascii="Times New Roman" w:hAnsi="Times New Roman" w:cs="Times New Roman"/>
          <w:sz w:val="22"/>
          <w:szCs w:val="22"/>
        </w:rPr>
        <w:t xml:space="preserve">, S. 1996. </w:t>
      </w:r>
      <w:r w:rsidRPr="00CE3F52">
        <w:rPr>
          <w:rFonts w:ascii="Times New Roman" w:hAnsi="Times New Roman" w:cs="Times New Roman"/>
          <w:sz w:val="22"/>
          <w:szCs w:val="22"/>
          <w:lang w:val="en-US"/>
        </w:rPr>
        <w:t>Matching species traits to environmental variables: a new three-table ordination method. Catheterization and Cardiovascular Interventions, 3, 143–166. DOI: 10.1002/ccd.27419</w:t>
      </w:r>
    </w:p>
    <w:p w14:paraId="280BD9A4" w14:textId="77777777" w:rsidR="00377AC2" w:rsidRPr="00CE3F52" w:rsidRDefault="00377AC2" w:rsidP="00377AC2">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CE3F52">
        <w:rPr>
          <w:rFonts w:ascii="Times New Roman" w:hAnsi="Times New Roman" w:cs="Times New Roman"/>
          <w:noProof/>
          <w:sz w:val="22"/>
          <w:szCs w:val="22"/>
          <w:lang w:val="en-US"/>
        </w:rPr>
        <w:t>Gotelli, N. J. 2000. Null model analysis of species co-occurrence patterns. Ecology, 81(9), 2606–2621.</w:t>
      </w:r>
    </w:p>
    <w:p w14:paraId="386F7C99" w14:textId="7DB2317E" w:rsidR="00377AC2" w:rsidRPr="00CE3F52" w:rsidRDefault="00377AC2" w:rsidP="00377AC2">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CE3F52">
        <w:rPr>
          <w:rFonts w:ascii="Times New Roman" w:hAnsi="Times New Roman" w:cs="Times New Roman"/>
          <w:noProof/>
          <w:sz w:val="22"/>
          <w:szCs w:val="22"/>
          <w:lang w:val="en-US"/>
        </w:rPr>
        <w:t>Gotelli, N. J., &amp; Graves, R. G. 1996. Null models in ecology.Smithsonian: p. 368.</w:t>
      </w:r>
    </w:p>
    <w:p w14:paraId="166B75CA" w14:textId="7DA39FDE" w:rsidR="000A3DB2" w:rsidRPr="00CE3F52" w:rsidRDefault="000A3DB2" w:rsidP="000A3DB2">
      <w:pPr>
        <w:spacing w:line="480" w:lineRule="auto"/>
        <w:rPr>
          <w:rFonts w:ascii="Times New Roman" w:hAnsi="Times New Roman" w:cs="Times New Roman"/>
          <w:sz w:val="22"/>
          <w:szCs w:val="22"/>
        </w:rPr>
      </w:pPr>
      <w:r w:rsidRPr="00CE3F52">
        <w:rPr>
          <w:rFonts w:ascii="Times New Roman" w:hAnsi="Times New Roman" w:cs="Times New Roman"/>
          <w:sz w:val="22"/>
          <w:szCs w:val="22"/>
          <w:lang w:val="en-US"/>
        </w:rPr>
        <w:t xml:space="preserve">stream fish assemblages across a habitat gradient. </w:t>
      </w:r>
      <w:r w:rsidRPr="00CE3F52">
        <w:rPr>
          <w:rFonts w:ascii="Times New Roman" w:hAnsi="Times New Roman" w:cs="Times New Roman"/>
          <w:sz w:val="22"/>
          <w:szCs w:val="22"/>
        </w:rPr>
        <w:t xml:space="preserve">Neotropical </w:t>
      </w:r>
      <w:proofErr w:type="spellStart"/>
      <w:r w:rsidRPr="00CE3F52">
        <w:rPr>
          <w:rFonts w:ascii="Times New Roman" w:hAnsi="Times New Roman" w:cs="Times New Roman"/>
          <w:sz w:val="22"/>
          <w:szCs w:val="22"/>
        </w:rPr>
        <w:t>Ichthyology</w:t>
      </w:r>
      <w:proofErr w:type="spellEnd"/>
      <w:r w:rsidRPr="00CE3F52">
        <w:rPr>
          <w:rFonts w:ascii="Times New Roman" w:hAnsi="Times New Roman" w:cs="Times New Roman"/>
          <w:sz w:val="22"/>
          <w:szCs w:val="22"/>
        </w:rPr>
        <w:t>, 14(1), 1–10. DOI: 10.1590/1982-0224-20140185</w:t>
      </w:r>
    </w:p>
    <w:p w14:paraId="215640E8" w14:textId="77777777" w:rsidR="000A3DB2" w:rsidRPr="0096737C" w:rsidRDefault="00271154" w:rsidP="000A3DB2">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CE3F52">
        <w:rPr>
          <w:rFonts w:ascii="Times New Roman" w:hAnsi="Times New Roman" w:cs="Times New Roman"/>
          <w:noProof/>
          <w:sz w:val="22"/>
          <w:szCs w:val="22"/>
        </w:rPr>
        <w:t xml:space="preserve">Roa-Fuentes, C. A., Casatti, L., &amp; Romero, R. M. 2015. </w:t>
      </w:r>
      <w:r w:rsidRPr="00CE3F52">
        <w:rPr>
          <w:rFonts w:ascii="Times New Roman" w:hAnsi="Times New Roman" w:cs="Times New Roman"/>
          <w:noProof/>
          <w:sz w:val="22"/>
          <w:szCs w:val="22"/>
          <w:lang w:val="en-US"/>
        </w:rPr>
        <w:t xml:space="preserve">Phylogenetic signal and major ecological shifts in the ecomorphological structure of stream fish in two river basins in Brazil. Neotropical Ichthyology, 13(1), 165–178. </w:t>
      </w:r>
      <w:r w:rsidRPr="0096737C">
        <w:rPr>
          <w:rFonts w:ascii="Times New Roman" w:hAnsi="Times New Roman" w:cs="Times New Roman"/>
          <w:noProof/>
          <w:sz w:val="22"/>
          <w:szCs w:val="22"/>
          <w:lang w:val="en-US"/>
        </w:rPr>
        <w:t>DOI: 10.1590/1982-0224-20140045</w:t>
      </w:r>
    </w:p>
    <w:p w14:paraId="35DDAE05" w14:textId="5139614A" w:rsidR="000A3DB2" w:rsidRPr="00CE3F52" w:rsidRDefault="000A3DB2" w:rsidP="000A3DB2">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96737C">
        <w:rPr>
          <w:rFonts w:ascii="Times New Roman" w:hAnsi="Times New Roman" w:cs="Times New Roman"/>
          <w:sz w:val="22"/>
          <w:szCs w:val="22"/>
          <w:lang w:val="en-US"/>
        </w:rPr>
        <w:t xml:space="preserve">Santos, L. L., </w:t>
      </w:r>
      <w:proofErr w:type="spellStart"/>
      <w:r w:rsidRPr="0096737C">
        <w:rPr>
          <w:rFonts w:ascii="Times New Roman" w:hAnsi="Times New Roman" w:cs="Times New Roman"/>
          <w:sz w:val="22"/>
          <w:szCs w:val="22"/>
          <w:lang w:val="en-US"/>
        </w:rPr>
        <w:t>Benone</w:t>
      </w:r>
      <w:proofErr w:type="spellEnd"/>
      <w:r w:rsidRPr="0096737C">
        <w:rPr>
          <w:rFonts w:ascii="Times New Roman" w:hAnsi="Times New Roman" w:cs="Times New Roman"/>
          <w:sz w:val="22"/>
          <w:szCs w:val="22"/>
          <w:lang w:val="en-US"/>
        </w:rPr>
        <w:t xml:space="preserve">, N. L., Soares, B. E., </w:t>
      </w:r>
      <w:proofErr w:type="spellStart"/>
      <w:r w:rsidRPr="0096737C">
        <w:rPr>
          <w:rFonts w:ascii="Times New Roman" w:hAnsi="Times New Roman" w:cs="Times New Roman"/>
          <w:sz w:val="22"/>
          <w:szCs w:val="22"/>
          <w:lang w:val="en-US"/>
        </w:rPr>
        <w:t>Barthem</w:t>
      </w:r>
      <w:proofErr w:type="spellEnd"/>
      <w:r w:rsidRPr="0096737C">
        <w:rPr>
          <w:rFonts w:ascii="Times New Roman" w:hAnsi="Times New Roman" w:cs="Times New Roman"/>
          <w:sz w:val="22"/>
          <w:szCs w:val="22"/>
          <w:lang w:val="en-US"/>
        </w:rPr>
        <w:t xml:space="preserve">, R. B., &amp; Montag, L. F. A. 2019. </w:t>
      </w:r>
      <w:r w:rsidRPr="00CE3F52">
        <w:rPr>
          <w:rFonts w:ascii="Times New Roman" w:hAnsi="Times New Roman" w:cs="Times New Roman"/>
          <w:sz w:val="22"/>
          <w:szCs w:val="22"/>
          <w:lang w:val="en-US"/>
        </w:rPr>
        <w:t>Trait–environment relationships in Amazon stream fish assemblages. Ecology of Freshwater Fish, 28(3), 424–433. DOI: 10.1111/eff.12465</w:t>
      </w:r>
    </w:p>
    <w:p w14:paraId="63FE9A2C" w14:textId="77777777" w:rsidR="00A274C4" w:rsidRPr="00CE3F52" w:rsidRDefault="00EA6B1C" w:rsidP="00A274C4">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CE3F52">
        <w:rPr>
          <w:rFonts w:ascii="Times New Roman" w:hAnsi="Times New Roman" w:cs="Times New Roman"/>
          <w:noProof/>
          <w:sz w:val="22"/>
          <w:szCs w:val="22"/>
          <w:lang w:val="en-US"/>
        </w:rPr>
        <w:t>Swenson, N. G. 2014. Functional and phylogenetic ecology in R. New York: Springer: p. 212.</w:t>
      </w:r>
    </w:p>
    <w:p w14:paraId="6960BC70" w14:textId="087D68F0" w:rsidR="00A274C4" w:rsidRPr="00CE3F52" w:rsidRDefault="000A3DB2" w:rsidP="0029440D">
      <w:pPr>
        <w:widowControl w:val="0"/>
        <w:autoSpaceDE w:val="0"/>
        <w:autoSpaceDN w:val="0"/>
        <w:adjustRightInd w:val="0"/>
        <w:spacing w:line="360" w:lineRule="auto"/>
        <w:ind w:left="480" w:hanging="480"/>
        <w:rPr>
          <w:rFonts w:ascii="Times New Roman" w:hAnsi="Times New Roman" w:cs="Times New Roman"/>
          <w:noProof/>
          <w:sz w:val="22"/>
          <w:szCs w:val="22"/>
          <w:lang w:val="en-US"/>
        </w:rPr>
      </w:pPr>
      <w:r w:rsidRPr="00CE3F52">
        <w:rPr>
          <w:rFonts w:ascii="Times New Roman" w:hAnsi="Times New Roman" w:cs="Times New Roman"/>
          <w:sz w:val="22"/>
          <w:szCs w:val="22"/>
        </w:rPr>
        <w:t>Zeni</w:t>
      </w:r>
      <w:r w:rsidR="00A274C4" w:rsidRPr="00CE3F52">
        <w:rPr>
          <w:rFonts w:ascii="Times New Roman" w:hAnsi="Times New Roman" w:cs="Times New Roman"/>
          <w:sz w:val="22"/>
          <w:szCs w:val="22"/>
        </w:rPr>
        <w:t>, J. O.</w:t>
      </w:r>
      <w:r w:rsidR="00CE3F52" w:rsidRPr="00CE3F52">
        <w:rPr>
          <w:rFonts w:ascii="Times New Roman" w:hAnsi="Times New Roman" w:cs="Times New Roman"/>
          <w:sz w:val="22"/>
          <w:szCs w:val="22"/>
        </w:rPr>
        <w:t xml:space="preserve">, Pérez-Mayorga, M. A., Roa-Fuentes, C. A., Brejão, G. L. &amp; </w:t>
      </w:r>
      <w:proofErr w:type="spellStart"/>
      <w:r w:rsidR="00CE3F52" w:rsidRPr="00CE3F52">
        <w:rPr>
          <w:rFonts w:ascii="Times New Roman" w:hAnsi="Times New Roman" w:cs="Times New Roman"/>
          <w:sz w:val="22"/>
          <w:szCs w:val="22"/>
        </w:rPr>
        <w:t>Casatti</w:t>
      </w:r>
      <w:proofErr w:type="spellEnd"/>
      <w:r w:rsidR="00CE3F52" w:rsidRPr="00CE3F52">
        <w:rPr>
          <w:rFonts w:ascii="Times New Roman" w:hAnsi="Times New Roman" w:cs="Times New Roman"/>
          <w:sz w:val="22"/>
          <w:szCs w:val="22"/>
        </w:rPr>
        <w:t>, L.</w:t>
      </w:r>
      <w:r w:rsidR="00A274C4" w:rsidRPr="00CE3F52">
        <w:rPr>
          <w:rFonts w:ascii="Times New Roman" w:hAnsi="Times New Roman" w:cs="Times New Roman"/>
          <w:sz w:val="22"/>
          <w:szCs w:val="22"/>
        </w:rPr>
        <w:t xml:space="preserve"> </w:t>
      </w:r>
      <w:r w:rsidRPr="00CE3F52">
        <w:rPr>
          <w:rFonts w:ascii="Times New Roman" w:hAnsi="Times New Roman" w:cs="Times New Roman"/>
          <w:sz w:val="22"/>
          <w:szCs w:val="22"/>
        </w:rPr>
        <w:t>2019</w:t>
      </w:r>
      <w:r w:rsidR="00A274C4" w:rsidRPr="00CE3F52">
        <w:rPr>
          <w:rFonts w:ascii="Times New Roman" w:hAnsi="Times New Roman" w:cs="Times New Roman"/>
          <w:sz w:val="22"/>
          <w:szCs w:val="22"/>
        </w:rPr>
        <w:t xml:space="preserve">. </w:t>
      </w:r>
      <w:r w:rsidR="00C53A05" w:rsidRPr="00CE3F52">
        <w:rPr>
          <w:rFonts w:ascii="Times New Roman" w:hAnsi="Times New Roman" w:cs="Times New Roman"/>
          <w:sz w:val="22"/>
          <w:szCs w:val="22"/>
          <w:lang w:val="en-US"/>
        </w:rPr>
        <w:t>How deforestation drives stream habitat changes and the functional structure of fish assemblages in different tropical regions</w:t>
      </w:r>
      <w:r w:rsidR="00A274C4" w:rsidRPr="00CE3F52">
        <w:rPr>
          <w:rFonts w:ascii="Times New Roman" w:hAnsi="Times New Roman" w:cs="Times New Roman"/>
          <w:sz w:val="22"/>
          <w:szCs w:val="22"/>
          <w:lang w:val="en-US"/>
        </w:rPr>
        <w:t xml:space="preserve">. Aquatic Conservation: Marine and Freshwater Ecosystems. </w:t>
      </w:r>
      <w:r w:rsidR="00CE3F52" w:rsidRPr="00CE3F52">
        <w:rPr>
          <w:rFonts w:ascii="Times New Roman" w:hAnsi="Times New Roman" w:cs="Times New Roman"/>
          <w:sz w:val="22"/>
          <w:szCs w:val="22"/>
          <w:lang w:val="en-US"/>
        </w:rPr>
        <w:t>29(8): 1238-1252. DOI:</w:t>
      </w:r>
      <w:r w:rsidR="00CE3F52" w:rsidRPr="00CE3F52">
        <w:rPr>
          <w:rFonts w:ascii="Times New Roman" w:hAnsi="Times New Roman" w:cs="Times New Roman"/>
          <w:sz w:val="22"/>
          <w:szCs w:val="22"/>
        </w:rPr>
        <w:t xml:space="preserve">10.1002/aqc.3128 </w:t>
      </w:r>
    </w:p>
    <w:p w14:paraId="303D31D7" w14:textId="77777777" w:rsidR="002E44F9" w:rsidRPr="00CE3F52" w:rsidRDefault="002E44F9">
      <w:pPr>
        <w:rPr>
          <w:rFonts w:ascii="Times New Roman" w:hAnsi="Times New Roman" w:cs="Times New Roman"/>
          <w:sz w:val="22"/>
          <w:szCs w:val="22"/>
          <w:lang w:val="en-US"/>
        </w:rPr>
      </w:pPr>
    </w:p>
    <w:sectPr w:rsidR="002E44F9" w:rsidRPr="00CE3F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742849"/>
    <w:multiLevelType w:val="hybridMultilevel"/>
    <w:tmpl w:val="85E085FA"/>
    <w:lvl w:ilvl="0" w:tplc="85D6045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C0"/>
    <w:rsid w:val="000A3DB2"/>
    <w:rsid w:val="00271154"/>
    <w:rsid w:val="0028217C"/>
    <w:rsid w:val="00290341"/>
    <w:rsid w:val="0029440D"/>
    <w:rsid w:val="002E44F9"/>
    <w:rsid w:val="003650BA"/>
    <w:rsid w:val="00366619"/>
    <w:rsid w:val="00377AC2"/>
    <w:rsid w:val="003F3AEA"/>
    <w:rsid w:val="004B71D1"/>
    <w:rsid w:val="00622232"/>
    <w:rsid w:val="00764CAD"/>
    <w:rsid w:val="007C50E5"/>
    <w:rsid w:val="008A4C48"/>
    <w:rsid w:val="00920592"/>
    <w:rsid w:val="009526C0"/>
    <w:rsid w:val="0096737C"/>
    <w:rsid w:val="00981651"/>
    <w:rsid w:val="00A274C4"/>
    <w:rsid w:val="00B83443"/>
    <w:rsid w:val="00C53A05"/>
    <w:rsid w:val="00C96358"/>
    <w:rsid w:val="00CE3F52"/>
    <w:rsid w:val="00D876BA"/>
    <w:rsid w:val="00EA6B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A723"/>
  <w15:chartTrackingRefBased/>
  <w15:docId w15:val="{7946347F-3FFA-4A2E-BB9C-105E3B91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C0"/>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526C0"/>
    <w:rPr>
      <w:rFonts w:ascii="Segoe UI" w:hAnsi="Segoe UI" w:cs="Segoe UI"/>
      <w:sz w:val="18"/>
      <w:szCs w:val="18"/>
    </w:rPr>
  </w:style>
  <w:style w:type="character" w:customStyle="1" w:styleId="TextodebaloChar">
    <w:name w:val="Texto de balão Char"/>
    <w:basedOn w:val="Fontepargpadro"/>
    <w:link w:val="Textodebalo"/>
    <w:uiPriority w:val="99"/>
    <w:semiHidden/>
    <w:rsid w:val="009526C0"/>
    <w:rPr>
      <w:rFonts w:ascii="Segoe UI" w:hAnsi="Segoe UI" w:cs="Segoe UI"/>
      <w:sz w:val="18"/>
      <w:szCs w:val="18"/>
      <w:lang w:val="en-US"/>
    </w:rPr>
  </w:style>
  <w:style w:type="character" w:styleId="Refdecomentrio">
    <w:name w:val="annotation reference"/>
    <w:basedOn w:val="Fontepargpadro"/>
    <w:uiPriority w:val="99"/>
    <w:semiHidden/>
    <w:unhideWhenUsed/>
    <w:rsid w:val="009526C0"/>
    <w:rPr>
      <w:sz w:val="16"/>
      <w:szCs w:val="16"/>
    </w:rPr>
  </w:style>
  <w:style w:type="paragraph" w:styleId="Textodecomentrio">
    <w:name w:val="annotation text"/>
    <w:basedOn w:val="Normal"/>
    <w:link w:val="TextodecomentrioChar"/>
    <w:uiPriority w:val="99"/>
    <w:semiHidden/>
    <w:unhideWhenUsed/>
    <w:rsid w:val="009526C0"/>
    <w:rPr>
      <w:sz w:val="20"/>
      <w:szCs w:val="20"/>
    </w:rPr>
  </w:style>
  <w:style w:type="character" w:customStyle="1" w:styleId="TextodecomentrioChar">
    <w:name w:val="Texto de comentário Char"/>
    <w:basedOn w:val="Fontepargpadro"/>
    <w:link w:val="Textodecomentrio"/>
    <w:uiPriority w:val="99"/>
    <w:semiHidden/>
    <w:rsid w:val="009526C0"/>
    <w:rPr>
      <w:sz w:val="20"/>
      <w:szCs w:val="20"/>
    </w:rPr>
  </w:style>
  <w:style w:type="paragraph" w:styleId="PargrafodaLista">
    <w:name w:val="List Paragraph"/>
    <w:basedOn w:val="Normal"/>
    <w:uiPriority w:val="34"/>
    <w:qFormat/>
    <w:rsid w:val="009526C0"/>
    <w:pPr>
      <w:ind w:left="720"/>
      <w:contextualSpacing/>
    </w:pPr>
  </w:style>
  <w:style w:type="paragraph" w:styleId="Legenda">
    <w:name w:val="caption"/>
    <w:basedOn w:val="Normal"/>
    <w:next w:val="Normal"/>
    <w:uiPriority w:val="35"/>
    <w:unhideWhenUsed/>
    <w:qFormat/>
    <w:rsid w:val="009526C0"/>
    <w:pPr>
      <w:spacing w:after="200"/>
    </w:pPr>
    <w:rPr>
      <w:i/>
      <w:iCs/>
      <w:color w:val="44546A" w:themeColor="text2"/>
      <w:sz w:val="18"/>
      <w:szCs w:val="18"/>
      <w:lang w:val="en-US"/>
    </w:rPr>
  </w:style>
  <w:style w:type="paragraph" w:styleId="NormalWeb">
    <w:name w:val="Normal (Web)"/>
    <w:basedOn w:val="Normal"/>
    <w:uiPriority w:val="99"/>
    <w:semiHidden/>
    <w:unhideWhenUsed/>
    <w:rsid w:val="00C53A05"/>
    <w:pPr>
      <w:spacing w:before="100" w:beforeAutospacing="1" w:after="100" w:afterAutospacing="1"/>
    </w:pPr>
    <w:rPr>
      <w:rFonts w:ascii="Times New Roman" w:eastAsia="Times New Roman" w:hAnsi="Times New Roman" w:cs="Times New Roman"/>
      <w:lang w:eastAsia="pt-BR"/>
    </w:rPr>
  </w:style>
  <w:style w:type="paragraph" w:styleId="Assuntodocomentrio">
    <w:name w:val="annotation subject"/>
    <w:basedOn w:val="Textodecomentrio"/>
    <w:next w:val="Textodecomentrio"/>
    <w:link w:val="AssuntodocomentrioChar"/>
    <w:uiPriority w:val="99"/>
    <w:semiHidden/>
    <w:unhideWhenUsed/>
    <w:rsid w:val="0028217C"/>
    <w:rPr>
      <w:b/>
      <w:bCs/>
    </w:rPr>
  </w:style>
  <w:style w:type="character" w:customStyle="1" w:styleId="AssuntodocomentrioChar">
    <w:name w:val="Assunto do comentário Char"/>
    <w:basedOn w:val="TextodecomentrioChar"/>
    <w:link w:val="Assuntodocomentrio"/>
    <w:uiPriority w:val="99"/>
    <w:semiHidden/>
    <w:rsid w:val="002821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065266">
      <w:bodyDiv w:val="1"/>
      <w:marLeft w:val="0"/>
      <w:marRight w:val="0"/>
      <w:marTop w:val="0"/>
      <w:marBottom w:val="0"/>
      <w:divBdr>
        <w:top w:val="none" w:sz="0" w:space="0" w:color="auto"/>
        <w:left w:val="none" w:sz="0" w:space="0" w:color="auto"/>
        <w:bottom w:val="none" w:sz="0" w:space="0" w:color="auto"/>
        <w:right w:val="none" w:sz="0" w:space="0" w:color="auto"/>
      </w:divBdr>
      <w:divsChild>
        <w:div w:id="397939181">
          <w:marLeft w:val="0"/>
          <w:marRight w:val="0"/>
          <w:marTop w:val="0"/>
          <w:marBottom w:val="0"/>
          <w:divBdr>
            <w:top w:val="none" w:sz="0" w:space="0" w:color="auto"/>
            <w:left w:val="none" w:sz="0" w:space="0" w:color="auto"/>
            <w:bottom w:val="none" w:sz="0" w:space="0" w:color="auto"/>
            <w:right w:val="none" w:sz="0" w:space="0" w:color="auto"/>
          </w:divBdr>
          <w:divsChild>
            <w:div w:id="1641036544">
              <w:marLeft w:val="0"/>
              <w:marRight w:val="0"/>
              <w:marTop w:val="0"/>
              <w:marBottom w:val="0"/>
              <w:divBdr>
                <w:top w:val="none" w:sz="0" w:space="0" w:color="auto"/>
                <w:left w:val="none" w:sz="0" w:space="0" w:color="auto"/>
                <w:bottom w:val="none" w:sz="0" w:space="0" w:color="auto"/>
                <w:right w:val="none" w:sz="0" w:space="0" w:color="auto"/>
              </w:divBdr>
              <w:divsChild>
                <w:div w:id="2131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967146">
      <w:bodyDiv w:val="1"/>
      <w:marLeft w:val="0"/>
      <w:marRight w:val="0"/>
      <w:marTop w:val="0"/>
      <w:marBottom w:val="0"/>
      <w:divBdr>
        <w:top w:val="none" w:sz="0" w:space="0" w:color="auto"/>
        <w:left w:val="none" w:sz="0" w:space="0" w:color="auto"/>
        <w:bottom w:val="none" w:sz="0" w:space="0" w:color="auto"/>
        <w:right w:val="none" w:sz="0" w:space="0" w:color="auto"/>
      </w:divBdr>
      <w:divsChild>
        <w:div w:id="704407348">
          <w:marLeft w:val="0"/>
          <w:marRight w:val="0"/>
          <w:marTop w:val="0"/>
          <w:marBottom w:val="0"/>
          <w:divBdr>
            <w:top w:val="none" w:sz="0" w:space="0" w:color="auto"/>
            <w:left w:val="none" w:sz="0" w:space="0" w:color="auto"/>
            <w:bottom w:val="none" w:sz="0" w:space="0" w:color="auto"/>
            <w:right w:val="none" w:sz="0" w:space="0" w:color="auto"/>
          </w:divBdr>
          <w:divsChild>
            <w:div w:id="1584217640">
              <w:marLeft w:val="0"/>
              <w:marRight w:val="0"/>
              <w:marTop w:val="0"/>
              <w:marBottom w:val="0"/>
              <w:divBdr>
                <w:top w:val="none" w:sz="0" w:space="0" w:color="auto"/>
                <w:left w:val="none" w:sz="0" w:space="0" w:color="auto"/>
                <w:bottom w:val="none" w:sz="0" w:space="0" w:color="auto"/>
                <w:right w:val="none" w:sz="0" w:space="0" w:color="auto"/>
              </w:divBdr>
              <w:divsChild>
                <w:div w:id="3634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85297">
      <w:bodyDiv w:val="1"/>
      <w:marLeft w:val="0"/>
      <w:marRight w:val="0"/>
      <w:marTop w:val="0"/>
      <w:marBottom w:val="0"/>
      <w:divBdr>
        <w:top w:val="none" w:sz="0" w:space="0" w:color="auto"/>
        <w:left w:val="none" w:sz="0" w:space="0" w:color="auto"/>
        <w:bottom w:val="none" w:sz="0" w:space="0" w:color="auto"/>
        <w:right w:val="none" w:sz="0" w:space="0" w:color="auto"/>
      </w:divBdr>
      <w:divsChild>
        <w:div w:id="635380167">
          <w:marLeft w:val="0"/>
          <w:marRight w:val="0"/>
          <w:marTop w:val="0"/>
          <w:marBottom w:val="0"/>
          <w:divBdr>
            <w:top w:val="none" w:sz="0" w:space="0" w:color="auto"/>
            <w:left w:val="none" w:sz="0" w:space="0" w:color="auto"/>
            <w:bottom w:val="none" w:sz="0" w:space="0" w:color="auto"/>
            <w:right w:val="none" w:sz="0" w:space="0" w:color="auto"/>
          </w:divBdr>
          <w:divsChild>
            <w:div w:id="1206716654">
              <w:marLeft w:val="0"/>
              <w:marRight w:val="0"/>
              <w:marTop w:val="0"/>
              <w:marBottom w:val="0"/>
              <w:divBdr>
                <w:top w:val="none" w:sz="0" w:space="0" w:color="auto"/>
                <w:left w:val="none" w:sz="0" w:space="0" w:color="auto"/>
                <w:bottom w:val="none" w:sz="0" w:space="0" w:color="auto"/>
                <w:right w:val="none" w:sz="0" w:space="0" w:color="auto"/>
              </w:divBdr>
              <w:divsChild>
                <w:div w:id="8120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3792</Words>
  <Characters>20481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filho</dc:creator>
  <cp:keywords/>
  <dc:description/>
  <cp:lastModifiedBy>Rafael Leitao</cp:lastModifiedBy>
  <cp:revision>5</cp:revision>
  <dcterms:created xsi:type="dcterms:W3CDTF">2021-02-09T18:01:00Z</dcterms:created>
  <dcterms:modified xsi:type="dcterms:W3CDTF">2021-02-16T00:07:00Z</dcterms:modified>
</cp:coreProperties>
</file>