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ind w:hanging="0"/>
        <w:jc w:val="center"/>
        <w:rPr>
          <w:rFonts w:ascii="Times New Roman" w:hAnsi="Times New Roman"/>
          <w:b/>
          <w:b/>
          <w:sz w:val="26"/>
          <w:szCs w:val="26"/>
          <w:lang w:val="en-US"/>
        </w:rPr>
      </w:pPr>
      <w:r>
        <w:rPr>
          <w:rFonts w:ascii="Times New Roman" w:hAnsi="Times New Roman"/>
          <w:i/>
          <w:iCs/>
          <w:szCs w:val="24"/>
          <w:lang w:val="en-US"/>
        </w:rPr>
        <w:t xml:space="preserve">Population dynamics of Rhipidomys itoan  </w:t>
      </w:r>
    </w:p>
    <w:p>
      <w:pPr>
        <w:pStyle w:val="Normal"/>
        <w:spacing w:lineRule="auto" w:line="480"/>
        <w:ind w:hanging="0"/>
        <w:jc w:val="center"/>
        <w:rPr>
          <w:rFonts w:ascii="Times New Roman" w:hAnsi="Times New Roman"/>
          <w:b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</w:r>
    </w:p>
    <w:p>
      <w:pPr>
        <w:pStyle w:val="Normal"/>
        <w:spacing w:lineRule="auto" w:line="480"/>
        <w:ind w:hanging="0"/>
        <w:jc w:val="center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POPULATION DYNAMICS OF THE CLIMBING MICE RHIPIDOMYS ITOAN (COSTA, 2011) IN THE BRAZILIAN ATLANTIC FOREST</w:t>
      </w:r>
    </w:p>
    <w:p>
      <w:pPr>
        <w:pStyle w:val="Normal"/>
        <w:spacing w:lineRule="auto" w:line="480"/>
        <w:ind w:hanging="0"/>
        <w:jc w:val="center"/>
        <w:rPr>
          <w:rFonts w:ascii="Times New Roman" w:hAnsi="Times New Roman"/>
          <w:i/>
          <w:i/>
          <w:iCs/>
          <w:szCs w:val="24"/>
        </w:rPr>
      </w:pPr>
      <w:r>
        <w:rPr>
          <w:rFonts w:ascii="Times New Roman" w:hAnsi="Times New Roman"/>
          <w:b/>
          <w:bCs/>
          <w:sz w:val="22"/>
        </w:rPr>
      </w:r>
    </w:p>
    <w:p>
      <w:pPr>
        <w:pStyle w:val="Normal"/>
        <w:spacing w:lineRule="auto" w:line="480"/>
        <w:ind w:hanging="0"/>
        <w:jc w:val="center"/>
        <w:rPr>
          <w:rFonts w:ascii="Times New Roman" w:hAnsi="Times New Roman"/>
          <w:b/>
          <w:b/>
          <w:bCs/>
          <w:sz w:val="22"/>
          <w:lang w:val="en-US"/>
        </w:rPr>
      </w:pPr>
      <w:r>
        <w:rPr>
          <w:rFonts w:ascii="Times New Roman" w:hAnsi="Times New Roman"/>
          <w:b/>
          <w:bCs/>
          <w:sz w:val="22"/>
          <w:lang w:val="en-US"/>
        </w:rPr>
        <w:t>SUPPLEMENTARY MATERIAL</w:t>
      </w:r>
    </w:p>
    <w:p>
      <w:pPr>
        <w:pStyle w:val="Normal"/>
        <w:spacing w:lineRule="auto" w:line="480"/>
        <w:ind w:hanging="0"/>
        <w:rPr>
          <w:rFonts w:ascii="Times New Roman" w:hAnsi="Times New Roman"/>
          <w:b/>
          <w:b/>
          <w:bCs/>
          <w:sz w:val="22"/>
          <w:lang w:val="en-US"/>
        </w:rPr>
      </w:pPr>
      <w:r>
        <w:rPr>
          <w:rFonts w:ascii="Times New Roman" w:hAnsi="Times New Roman"/>
          <w:b/>
          <w:bCs/>
          <w:sz w:val="22"/>
          <w:lang w:val="en-US"/>
        </w:rPr>
      </w:r>
    </w:p>
    <w:p>
      <w:pPr>
        <w:pStyle w:val="Normal"/>
        <w:spacing w:lineRule="auto" w:line="480"/>
        <w:ind w:left="-850" w:firstLine="709"/>
        <w:rPr>
          <w:rFonts w:ascii="Times New Roman" w:hAnsi="Times New Roman"/>
          <w:szCs w:val="24"/>
        </w:rPr>
      </w:pPr>
      <w:r>
        <w:rPr/>
        <w:drawing>
          <wp:inline distT="0" distB="0" distL="0" distR="0">
            <wp:extent cx="5400040" cy="3754755"/>
            <wp:effectExtent l="0" t="0" r="0" b="0"/>
            <wp:docPr id="1" name="Imagem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75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2"/>
          <w:lang w:val="en-US"/>
        </w:rPr>
      </w:pPr>
      <w:r>
        <w:rPr>
          <w:rFonts w:ascii="Times New Roman" w:hAnsi="Times New Roman"/>
          <w:b/>
          <w:sz w:val="22"/>
          <w:lang w:val="en-US"/>
        </w:rPr>
        <w:t>Figure S1.</w:t>
      </w:r>
      <w:r>
        <w:rPr>
          <w:rFonts w:ascii="Times New Roman" w:hAnsi="Times New Roman"/>
          <w:sz w:val="22"/>
          <w:lang w:val="en-US"/>
        </w:rPr>
        <w:t xml:space="preserve"> Phase portrait of the climbing mice </w:t>
      </w:r>
      <w:r>
        <w:rPr>
          <w:rFonts w:ascii="Times New Roman" w:hAnsi="Times New Roman"/>
          <w:i/>
          <w:iCs/>
          <w:sz w:val="22"/>
          <w:lang w:val="en-US"/>
        </w:rPr>
        <w:t>Rhipidomys itoan</w:t>
      </w:r>
      <w:r>
        <w:rPr>
          <w:rFonts w:ascii="Times New Roman" w:hAnsi="Times New Roman"/>
          <w:sz w:val="22"/>
          <w:lang w:val="en-US"/>
        </w:rPr>
        <w:t xml:space="preserve"> for 16 years in an Atlantic Forest area, southeastern Brazil. a) Complete time series, b) between 2000 and 2007 (low-population sequence), and c) between 2008 and 2015 (high-population sequence). The lines connecting the points represent vectors [Nt-1, R]. (Nt-1 = population size with a lag of one year, R = per capita population growth rate). The blue arrow indicates the beginning of the time series. </w:t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spacing w:lineRule="auto" w:line="480"/>
        <w:ind w:hanging="0"/>
        <w:rPr>
          <w:rFonts w:ascii="Times New Roman" w:hAnsi="Times New Roman" w:eastAsia="Calibri" w:eastAsiaTheme="minorHAnsi"/>
          <w:szCs w:val="24"/>
        </w:rPr>
      </w:pPr>
      <w:r>
        <w:rPr/>
        <w:drawing>
          <wp:inline distT="0" distB="0" distL="0" distR="0">
            <wp:extent cx="5400040" cy="3276600"/>
            <wp:effectExtent l="0" t="0" r="0" b="0"/>
            <wp:docPr id="2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480"/>
        <w:ind w:left="-1417" w:firstLine="709"/>
        <w:rPr>
          <w:rFonts w:ascii="Times New Roman" w:hAnsi="Times New Roman" w:eastAsia="Calibri" w:eastAsiaTheme="minorHAnsi"/>
          <w:szCs w:val="24"/>
        </w:rPr>
      </w:pPr>
      <w:r>
        <w:rPr>
          <w:rFonts w:eastAsia="Calibri" w:eastAsiaTheme="minorHAnsi" w:ascii="Times New Roman" w:hAnsi="Times New Roman"/>
          <w:szCs w:val="24"/>
        </w:rPr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2"/>
          <w:lang w:val="en-US"/>
        </w:rPr>
      </w:pPr>
      <w:r>
        <w:rPr>
          <w:rFonts w:ascii="Times New Roman" w:hAnsi="Times New Roman"/>
          <w:b/>
          <w:sz w:val="22"/>
          <w:lang w:val="en-US"/>
        </w:rPr>
        <w:t>Figure S2.</w:t>
      </w:r>
      <w:r>
        <w:rPr>
          <w:rFonts w:ascii="Times New Roman" w:hAnsi="Times New Roman"/>
          <w:sz w:val="22"/>
          <w:lang w:val="en-US"/>
        </w:rPr>
        <w:t xml:space="preserve"> Autocorrelation function of the climbing mice </w:t>
      </w:r>
      <w:r>
        <w:rPr>
          <w:rFonts w:ascii="Times New Roman" w:hAnsi="Times New Roman"/>
          <w:i/>
          <w:iCs/>
          <w:sz w:val="22"/>
          <w:lang w:val="en-US"/>
        </w:rPr>
        <w:t>Rhipidomys itoan</w:t>
      </w:r>
      <w:r>
        <w:rPr>
          <w:rFonts w:ascii="Times New Roman" w:hAnsi="Times New Roman"/>
          <w:sz w:val="22"/>
          <w:lang w:val="en-US"/>
        </w:rPr>
        <w:t xml:space="preserve"> for 16 years in an Atlantic Forest area, southeastern Brazil. a) ACF of the complete time series; b) ACF of the detrended time series from 2000 to 2007 (low-population sequence), and c) ACF of the detrended time series from 2008 to 2015 (high-population sequence). Lags = annual delays.</w:t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2"/>
          <w:lang w:val="en-US"/>
        </w:rPr>
      </w:pPr>
      <w:r>
        <w:rPr/>
        <w:drawing>
          <wp:inline distT="0" distB="0" distL="0" distR="0">
            <wp:extent cx="5400040" cy="3216910"/>
            <wp:effectExtent l="0" t="0" r="0" b="0"/>
            <wp:docPr id="3" name="Imagem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2"/>
          <w:lang w:val="en-US"/>
        </w:rPr>
      </w:pPr>
      <w:r>
        <w:rPr>
          <w:rFonts w:ascii="Times New Roman" w:hAnsi="Times New Roman"/>
          <w:b/>
          <w:bCs/>
          <w:sz w:val="22"/>
          <w:lang w:val="en-US"/>
        </w:rPr>
        <w:t>Figure S3</w:t>
      </w:r>
      <w:r>
        <w:rPr>
          <w:rFonts w:ascii="Times New Roman" w:hAnsi="Times New Roman"/>
          <w:sz w:val="22"/>
          <w:lang w:val="en-US"/>
        </w:rPr>
        <w:t xml:space="preserve">. Comparison of population dynamics of the climbing mice </w:t>
      </w:r>
      <w:r>
        <w:rPr>
          <w:rFonts w:ascii="Times New Roman" w:hAnsi="Times New Roman"/>
          <w:i/>
          <w:iCs/>
          <w:sz w:val="22"/>
          <w:lang w:val="en-US"/>
        </w:rPr>
        <w:t>Rhipidomys itoan</w:t>
      </w:r>
      <w:r>
        <w:rPr>
          <w:rFonts w:ascii="Times New Roman" w:hAnsi="Times New Roman"/>
          <w:sz w:val="22"/>
          <w:lang w:val="en-US"/>
        </w:rPr>
        <w:t xml:space="preserve"> estimated with a) the capture success index (Graipel </w:t>
      </w:r>
      <w:r>
        <w:rPr>
          <w:rFonts w:ascii="Times New Roman" w:hAnsi="Times New Roman"/>
          <w:i/>
          <w:sz w:val="22"/>
          <w:lang w:val="en-US"/>
        </w:rPr>
        <w:t>et al</w:t>
      </w:r>
      <w:r>
        <w:rPr>
          <w:rFonts w:ascii="Times New Roman" w:hAnsi="Times New Roman"/>
          <w:sz w:val="22"/>
          <w:lang w:val="en-US"/>
        </w:rPr>
        <w:t>. 2014) and b) the Minimum Number Known to be Alive (Krebs 1966). r = 0,90 (p &lt; 0.001).</w:t>
      </w:r>
    </w:p>
    <w:p>
      <w:pPr>
        <w:pStyle w:val="Normal"/>
        <w:spacing w:lineRule="auto" w:line="480"/>
        <w:ind w:hanging="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spacing w:lineRule="auto" w:line="480"/>
        <w:ind w:hanging="0"/>
        <w:jc w:val="left"/>
        <w:rPr>
          <w:rFonts w:ascii="Times New Roman" w:hAnsi="Times New Roman"/>
          <w:color w:val="000000"/>
          <w:sz w:val="22"/>
          <w:lang w:val="en-US"/>
        </w:rPr>
      </w:pPr>
      <w:r>
        <w:rPr>
          <w:rFonts w:ascii="Times New Roman" w:hAnsi="Times New Roman"/>
          <w:b/>
          <w:bCs/>
          <w:color w:val="000000"/>
          <w:sz w:val="22"/>
          <w:lang w:val="en-US"/>
        </w:rPr>
        <w:t>Table S1.</w:t>
      </w:r>
      <w:r>
        <w:rPr>
          <w:rFonts w:ascii="Times New Roman" w:hAnsi="Times New Roman"/>
          <w:color w:val="000000"/>
          <w:sz w:val="22"/>
          <w:lang w:val="en-US"/>
        </w:rPr>
        <w:t xml:space="preserve"> Standardized parameters of the two top-ranked models predicting population size fluctuation </w:t>
      </w:r>
      <w:r>
        <w:rPr>
          <w:rFonts w:ascii="Times New Roman" w:hAnsi="Times New Roman"/>
          <w:sz w:val="22"/>
          <w:lang w:val="en-US"/>
        </w:rPr>
        <w:t xml:space="preserve">of the climbing mice </w:t>
      </w:r>
      <w:r>
        <w:rPr>
          <w:rFonts w:ascii="Times New Roman" w:hAnsi="Times New Roman"/>
          <w:i/>
          <w:iCs/>
          <w:sz w:val="22"/>
          <w:lang w:val="en-US"/>
        </w:rPr>
        <w:t>Rhipidomys itoan</w:t>
      </w:r>
      <w:r>
        <w:rPr>
          <w:rFonts w:ascii="Times New Roman" w:hAnsi="Times New Roman"/>
          <w:sz w:val="22"/>
          <w:lang w:val="en-US"/>
        </w:rPr>
        <w:t xml:space="preserve"> for 16 years in an Atlantic Forest area, southeastern Brazil</w:t>
      </w:r>
      <w:r>
        <w:rPr>
          <w:rFonts w:ascii="Times New Roman" w:hAnsi="Times New Roman"/>
          <w:color w:val="000000"/>
          <w:sz w:val="22"/>
          <w:lang w:val="en-US"/>
        </w:rPr>
        <w:t>. Tmax = mean maximum temperature in the current year and Tmax</w:t>
      </w:r>
      <w:r>
        <w:rPr>
          <w:rFonts w:ascii="Times New Roman" w:hAnsi="Times New Roman"/>
          <w:color w:val="000000"/>
          <w:sz w:val="22"/>
          <w:vertAlign w:val="subscript"/>
          <w:lang w:val="en-US"/>
        </w:rPr>
        <w:t>-1</w:t>
      </w:r>
      <w:r>
        <w:rPr>
          <w:rFonts w:ascii="Times New Roman" w:hAnsi="Times New Roman"/>
          <w:color w:val="000000"/>
          <w:sz w:val="22"/>
          <w:lang w:val="en-US"/>
        </w:rPr>
        <w:t xml:space="preserve"> = mean maximum temperature in the previous year. Significant code: * 0.05.</w:t>
      </w:r>
    </w:p>
    <w:tbl>
      <w:tblPr>
        <w:tblW w:w="465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25"/>
        <w:gridCol w:w="1088"/>
        <w:gridCol w:w="1839"/>
      </w:tblGrid>
      <w:tr>
        <w:trPr>
          <w:trHeight w:val="375" w:hRule="atLeast"/>
        </w:trPr>
        <w:tc>
          <w:tcPr>
            <w:tcW w:w="1725" w:type="dxa"/>
            <w:tcBorders>
              <w:top w:val="single" w:sz="1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en-US"/>
              </w:rPr>
              <w:t>Variable</w:t>
            </w:r>
          </w:p>
        </w:tc>
        <w:tc>
          <w:tcPr>
            <w:tcW w:w="1088" w:type="dxa"/>
            <w:tcBorders>
              <w:top w:val="single" w:sz="1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en-US"/>
              </w:rPr>
              <w:t>Estimate</w:t>
            </w:r>
          </w:p>
        </w:tc>
        <w:tc>
          <w:tcPr>
            <w:tcW w:w="1839" w:type="dxa"/>
            <w:tcBorders>
              <w:top w:val="single" w:sz="12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en-US"/>
              </w:rPr>
              <w:t>Standard Deviation</w:t>
            </w:r>
          </w:p>
        </w:tc>
      </w:tr>
      <w:tr>
        <w:trPr>
          <w:trHeight w:val="375" w:hRule="atLeast"/>
        </w:trPr>
        <w:tc>
          <w:tcPr>
            <w:tcW w:w="172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  <w:i/>
                <w:i/>
                <w:iCs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4"/>
                <w:lang w:val="en-US"/>
              </w:rPr>
              <w:t>First model</w:t>
            </w:r>
          </w:p>
        </w:tc>
        <w:tc>
          <w:tcPr>
            <w:tcW w:w="108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</w:r>
          </w:p>
        </w:tc>
        <w:tc>
          <w:tcPr>
            <w:tcW w:w="1839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</w:tr>
      <w:tr>
        <w:trPr>
          <w:trHeight w:val="315" w:hRule="atLeast"/>
        </w:trPr>
        <w:tc>
          <w:tcPr>
            <w:tcW w:w="172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Intercept</w:t>
            </w:r>
          </w:p>
        </w:tc>
        <w:tc>
          <w:tcPr>
            <w:tcW w:w="108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31.8285</w:t>
            </w:r>
          </w:p>
        </w:tc>
        <w:tc>
          <w:tcPr>
            <w:tcW w:w="1839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12.0915 *</w:t>
            </w:r>
          </w:p>
        </w:tc>
      </w:tr>
      <w:tr>
        <w:trPr>
          <w:trHeight w:val="375" w:hRule="atLeast"/>
        </w:trPr>
        <w:tc>
          <w:tcPr>
            <w:tcW w:w="172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Tmax</w:t>
            </w:r>
            <w:r>
              <w:rPr>
                <w:rFonts w:ascii="Times New Roman" w:hAnsi="Times New Roman"/>
                <w:color w:val="000000"/>
                <w:szCs w:val="24"/>
                <w:vertAlign w:val="subscript"/>
                <w:lang w:val="en-US"/>
              </w:rPr>
              <w:t>-1</w:t>
            </w:r>
          </w:p>
        </w:tc>
        <w:tc>
          <w:tcPr>
            <w:tcW w:w="108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-0.9806</w:t>
            </w:r>
          </w:p>
        </w:tc>
        <w:tc>
          <w:tcPr>
            <w:tcW w:w="1839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0.411 *</w:t>
            </w:r>
          </w:p>
        </w:tc>
      </w:tr>
      <w:tr>
        <w:trPr>
          <w:trHeight w:val="315" w:hRule="exact"/>
        </w:trPr>
        <w:tc>
          <w:tcPr>
            <w:tcW w:w="172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</w:r>
          </w:p>
        </w:tc>
        <w:tc>
          <w:tcPr>
            <w:tcW w:w="108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1839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</w:tr>
      <w:tr>
        <w:trPr>
          <w:trHeight w:val="375" w:hRule="atLeast"/>
        </w:trPr>
        <w:tc>
          <w:tcPr>
            <w:tcW w:w="2813" w:type="dxa"/>
            <w:gridSpan w:val="2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  <w:i/>
                <w:i/>
                <w:iCs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4"/>
                <w:lang w:val="en-US"/>
              </w:rPr>
              <w:t>Second model</w:t>
            </w:r>
          </w:p>
        </w:tc>
        <w:tc>
          <w:tcPr>
            <w:tcW w:w="1839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</w:r>
          </w:p>
        </w:tc>
      </w:tr>
      <w:tr>
        <w:trPr>
          <w:trHeight w:val="375" w:hRule="atLeast"/>
        </w:trPr>
        <w:tc>
          <w:tcPr>
            <w:tcW w:w="1725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Intercept</w:t>
            </w:r>
          </w:p>
        </w:tc>
        <w:tc>
          <w:tcPr>
            <w:tcW w:w="1088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31.0536</w:t>
            </w:r>
          </w:p>
        </w:tc>
        <w:tc>
          <w:tcPr>
            <w:tcW w:w="1839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12.3617 *</w:t>
            </w:r>
          </w:p>
        </w:tc>
      </w:tr>
      <w:tr>
        <w:trPr>
          <w:trHeight w:val="315" w:hRule="atLeast"/>
        </w:trPr>
        <w:tc>
          <w:tcPr>
            <w:tcW w:w="1725" w:type="dxa"/>
            <w:tcBorders>
              <w:bottom w:val="single" w:sz="1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Tmax</w:t>
            </w:r>
          </w:p>
        </w:tc>
        <w:tc>
          <w:tcPr>
            <w:tcW w:w="1088" w:type="dxa"/>
            <w:tcBorders>
              <w:bottom w:val="single" w:sz="1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-0.9554</w:t>
            </w:r>
          </w:p>
        </w:tc>
        <w:tc>
          <w:tcPr>
            <w:tcW w:w="1839" w:type="dxa"/>
            <w:tcBorders>
              <w:bottom w:val="single" w:sz="1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0.4206 *</w:t>
            </w:r>
          </w:p>
        </w:tc>
      </w:tr>
      <w:tr>
        <w:trPr>
          <w:trHeight w:val="315" w:hRule="exact"/>
        </w:trPr>
        <w:tc>
          <w:tcPr>
            <w:tcW w:w="1725" w:type="dxa"/>
            <w:tcBorders>
              <w:top w:val="single" w:sz="1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</w:r>
          </w:p>
        </w:tc>
        <w:tc>
          <w:tcPr>
            <w:tcW w:w="1088" w:type="dxa"/>
            <w:tcBorders>
              <w:top w:val="single" w:sz="1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1839" w:type="dxa"/>
            <w:tcBorders>
              <w:top w:val="single" w:sz="1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spacing w:lineRule="auto" w:line="276" w:before="0" w:after="200"/>
        <w:ind w:hanging="0"/>
        <w:jc w:val="left"/>
        <w:rPr>
          <w:sz w:val="17"/>
          <w:szCs w:val="17"/>
        </w:rPr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1d45"/>
    <w:pPr>
      <w:widowControl/>
      <w:bidi w:val="0"/>
      <w:spacing w:lineRule="auto" w:line="360" w:before="0" w:after="0"/>
      <w:ind w:firstLine="709"/>
      <w:jc w:val="both"/>
    </w:pPr>
    <w:rPr>
      <w:rFonts w:ascii="Arial" w:hAnsi="Arial" w:eastAsia="Times New Roman" w:cs="Times New Roman"/>
      <w:color w:val="auto"/>
      <w:kern w:val="0"/>
      <w:sz w:val="24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LibreOffice/7.2.5.2$Linux_X86_64 LibreOffice_project/499f9727c189e6ef3471021d6132d4c694f357e5</Application>
  <AppVersion>15.0000</AppVersion>
  <Pages>3</Pages>
  <Words>271</Words>
  <Characters>1458</Characters>
  <CharactersWithSpaces>1708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2022-05-05T13:55:52Z</dcterms:created>
  <dc:creator>Editor</dc:creator>
  <dc:description/>
  <dc:language>en-US</dc:language>
  <cp:lastModifiedBy>Editor</cp:lastModifiedBy>
  <dcterms:modified xsi:type="dcterms:W3CDTF">2022-05-05T13:55:55Z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