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lineRule="auto" w:line="480" w:beforeAutospacing="0" w:before="240" w:afterAutospacing="0" w:after="240"/>
        <w:jc w:val="center"/>
        <w:rPr>
          <w:i/>
          <w:i/>
          <w:iCs/>
          <w:lang w:val="en-US"/>
        </w:rPr>
      </w:pPr>
      <w:bookmarkStart w:id="0" w:name="_Hlk113555391"/>
      <w:r>
        <w:rPr>
          <w:i/>
          <w:iCs/>
          <w:lang w:val="en-US"/>
        </w:rPr>
        <w:t>Ecology of Forest Small Mammals</w:t>
      </w:r>
    </w:p>
    <w:p>
      <w:pPr>
        <w:pStyle w:val="NormalWeb"/>
        <w:spacing w:lineRule="auto" w:line="480" w:beforeAutospacing="0" w:before="240" w:afterAutospacing="0" w:after="240"/>
        <w:jc w:val="center"/>
        <w:rPr>
          <w:b/>
          <w:b/>
          <w:bCs/>
          <w:color w:val="000000"/>
          <w:sz w:val="26"/>
          <w:szCs w:val="26"/>
          <w:lang w:val="en-US"/>
        </w:rPr>
      </w:pPr>
      <w:r>
        <w:rPr>
          <w:b/>
          <w:bCs/>
          <w:color w:val="000000"/>
          <w:sz w:val="26"/>
          <w:szCs w:val="26"/>
          <w:lang w:val="en-US"/>
        </w:rPr>
      </w:r>
    </w:p>
    <w:p>
      <w:pPr>
        <w:pStyle w:val="NormalWeb"/>
        <w:spacing w:lineRule="auto" w:line="480" w:beforeAutospacing="0" w:before="240" w:afterAutospacing="0" w:after="240"/>
        <w:jc w:val="center"/>
        <w:rPr>
          <w:b/>
          <w:b/>
          <w:bCs/>
          <w:color w:val="000000"/>
          <w:sz w:val="26"/>
          <w:szCs w:val="26"/>
          <w:lang w:val="en-US"/>
        </w:rPr>
      </w:pPr>
      <w:r>
        <w:rPr>
          <w:b/>
          <w:bCs/>
          <w:color w:val="000000"/>
          <w:sz w:val="26"/>
          <w:szCs w:val="26"/>
          <w:lang w:val="en-US"/>
        </w:rPr>
        <w:t>ECOLOGY OF TROPICAL FOREST SMALL MAMMAL POPULATIONS: PATTERNS AND PROCESS REVEALED BY THE LARGEST LONG-TERM MONITORING STUDY IN BRAZIL</w:t>
      </w:r>
    </w:p>
    <w:p>
      <w:pPr>
        <w:sectPr>
          <w:type w:val="nextPage"/>
          <w:pgSz w:w="11906" w:h="16838"/>
          <w:pgMar w:left="1701" w:right="1701" w:gutter="0" w:header="0" w:top="1412" w:footer="0" w:bottom="1412"/>
          <w:pgNumType w:fmt="decimal"/>
          <w:formProt w:val="false"/>
          <w:textDirection w:val="lrTb"/>
          <w:docGrid w:type="default" w:linePitch="360" w:charSpace="4096"/>
        </w:sectPr>
        <w:pStyle w:val="NormalWeb"/>
        <w:spacing w:lineRule="auto" w:line="480" w:beforeAutospacing="0" w:before="240" w:afterAutospacing="0" w:after="240"/>
        <w:jc w:val="center"/>
        <w:rPr>
          <w:b/>
          <w:b/>
          <w:bCs/>
          <w:color w:val="000000"/>
          <w:lang w:val="en-US"/>
        </w:rPr>
      </w:pPr>
      <w:r>
        <w:rPr/>
      </w:r>
    </w:p>
    <w:p>
      <w:pPr>
        <w:pStyle w:val="Normal"/>
        <w:spacing w:lineRule="auto" w:line="360" w:before="0" w:after="200"/>
        <w:contextualSpacing/>
        <w:jc w:val="center"/>
        <w:rPr>
          <w:rFonts w:ascii="Times New Roman" w:hAnsi="Times New Roman" w:eastAsia="Times New Roman" w:cs="Times New Roman"/>
          <w:b/>
          <w:b/>
          <w:bCs/>
          <w:lang w:val="en-GB"/>
        </w:rPr>
      </w:pPr>
      <w:bookmarkStart w:id="1" w:name="_Hlk113555391"/>
      <w:r>
        <w:rPr>
          <w:rFonts w:eastAsia="Times New Roman" w:cs="Times New Roman" w:ascii="Times New Roman" w:hAnsi="Times New Roman"/>
          <w:b/>
          <w:bCs/>
          <w:lang w:val="en-GB"/>
        </w:rPr>
        <w:t>SUPPLEMENTARY MATERIAL 3</w:t>
      </w:r>
      <w:bookmarkEnd w:id="1"/>
    </w:p>
    <w:p>
      <w:pPr>
        <w:pStyle w:val="Normal"/>
        <w:spacing w:lineRule="auto" w:line="360" w:before="0" w:after="200"/>
        <w:contextualSpacing/>
        <w:rPr>
          <w:rFonts w:ascii="Times New Roman" w:hAnsi="Times New Roman" w:eastAsia="Times New Roman" w:cs="Times New Roman"/>
          <w:b/>
          <w:b/>
          <w:bCs/>
          <w:highlight w:val="yellow"/>
          <w:lang w:val="en-GB"/>
        </w:rPr>
      </w:pPr>
      <w:r>
        <w:rPr>
          <w:rFonts w:eastAsia="Times New Roman" w:cs="Times New Roman" w:ascii="Times New Roman" w:hAnsi="Times New Roman"/>
          <w:b/>
          <w:bCs/>
          <w:highlight w:val="yellow"/>
          <w:lang w:val="en-GB"/>
        </w:rPr>
      </w:r>
    </w:p>
    <w:p>
      <w:pPr>
        <w:pStyle w:val="Normal"/>
        <w:spacing w:lineRule="auto" w:line="360" w:before="0" w:after="200"/>
        <w:ind w:left="-426" w:right="-427" w:hanging="0"/>
        <w:contextualSpacing/>
        <w:rPr>
          <w:rFonts w:ascii="Times New Roman" w:hAnsi="Times New Roman" w:cs="Times New Roman"/>
          <w:lang w:val="en-US"/>
        </w:rPr>
      </w:pPr>
      <w:r>
        <w:rPr>
          <w:rFonts w:eastAsia="Times New Roman" w:cs="Times New Roman" w:ascii="Times New Roman" w:hAnsi="Times New Roman"/>
          <w:b/>
          <w:bCs/>
          <w:lang w:val="en-US"/>
        </w:rPr>
        <w:t xml:space="preserve">Table S2. </w:t>
      </w:r>
      <w:r>
        <w:rPr>
          <w:rFonts w:eastAsia="Times New Roman" w:cs="Times New Roman" w:ascii="Times New Roman" w:hAnsi="Times New Roman"/>
          <w:lang w:val="en-US"/>
        </w:rPr>
        <w:t xml:space="preserve">Studies that evaluated habitat selection at Garrafão, Serra dos Órgãos National Park, state of Rio de Janeiro, Brazil, </w:t>
      </w:r>
      <w:bookmarkStart w:id="2" w:name="_Hlk101811396"/>
      <w:r>
        <w:rPr>
          <w:rFonts w:eastAsia="Times New Roman" w:cs="Times New Roman" w:ascii="Times New Roman" w:hAnsi="Times New Roman"/>
          <w:lang w:val="en-US"/>
        </w:rPr>
        <w:t xml:space="preserve">during a 22-year long-term monitoring study of non-volant small mammals. </w:t>
      </w:r>
      <w:bookmarkEnd w:id="2"/>
    </w:p>
    <w:tbl>
      <w:tblPr>
        <w:tblStyle w:val="Tabelacomgrade"/>
        <w:tblW w:w="1401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319"/>
        <w:gridCol w:w="3033"/>
        <w:gridCol w:w="3316"/>
        <w:gridCol w:w="4345"/>
      </w:tblGrid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t-BR" w:eastAsia="en-US" w:bidi="ar-SA"/>
              </w:rPr>
              <w:t>Habitat variable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t-BR" w:eastAsia="en-US" w:bidi="ar-SA"/>
              </w:rPr>
              <w:t>Positive association</w:t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t-BR" w:eastAsia="en-US" w:bidi="ar-SA"/>
              </w:rPr>
              <w:t>Negative association</w:t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t-BR" w:eastAsia="en-US" w:bidi="ar-SA"/>
              </w:rPr>
              <w:t>None association</w:t>
            </w:r>
          </w:p>
        </w:tc>
      </w:tr>
      <w:tr>
        <w:trPr/>
        <w:tc>
          <w:tcPr>
            <w:tcW w:w="14013" w:type="dxa"/>
            <w:gridSpan w:val="4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en-US" w:eastAsia="en-US" w:bidi="ar-SA"/>
              </w:rPr>
              <w:t>Microhabitat (ground of the forest)</w:t>
            </w:r>
          </w:p>
        </w:tc>
      </w:tr>
      <w:tr>
        <w:trPr/>
        <w:tc>
          <w:tcPr>
            <w:tcW w:w="3319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% Plant cover on the ground,</w:t>
            </w:r>
          </w:p>
        </w:tc>
        <w:tc>
          <w:tcPr>
            <w:tcW w:w="3033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D. aurita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M. myosuros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  <w:tc>
          <w:tcPr>
            <w:tcW w:w="4345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A. cursor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1998; 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;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myosuros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1998; 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% Litter cover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D. aurita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(Ferreira 2009)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1998; 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A. cursor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1998; 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;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M. myosuros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1998; Aprigliano 2003; 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% Rock cover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(Ferreira 2009)</w:t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A. cursor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D. aurita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1998; 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M. myosuros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1998; 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;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myosuros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1998; 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% Canopy cover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D. aurita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A. cursor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1998; 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;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myosuros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;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Aprigliano 2003; 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% Obstruction at 0–0.5m high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>M. myosuros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 xml:space="preserve"> (Aprigliano 2003)</w:t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A. cursor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D. aurita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(Aprigliano 2003; 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M. myosuros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 </w:t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1998;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Aprigliano 2003; Ferreira 2009)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myosuros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1998; 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% Obstruction at 0.5–1.0m high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D. aurita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A. cursor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1998; 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1998;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myosuros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;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Aprigliano 2003; 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% Obstruction at 1.0–1.5m high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A. cursor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M. myosuros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 xml:space="preserve"> (Freitas 1998)</w:t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D. aurita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D. aurita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(Aprigliano 2003; 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M. incanus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1998;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M. myosuros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(Aprigliano 2003; 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Number of fallen trunks or logs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(Aprigliano 2003)</w:t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>M. myosuros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 xml:space="preserve"> (Freitas 1998)</w:t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A. cursor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1998;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Aprigliano 2003; Ferreira 2009)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Canopy height (m)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A. cursor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myosuros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Terrain slope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>A. cursor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 xml:space="preserve"> (Freitas 1998)</w:t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myosuros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Bamboo number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A. cursor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myosuros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>Astrocarium aculeatissimum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 xml:space="preserve"> number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A. cursor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myosuros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Distance to nearest tree with DBH &gt; 2.0m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A. cursor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myosuros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Diameter of nearest tree with DBH &gt; 2.0m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>M. incanus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 xml:space="preserve"> (Freitas 1998)</w:t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A. cursor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myosuros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(Freitas 1998)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(Freitas 1998)</w:t>
            </w:r>
          </w:p>
        </w:tc>
      </w:tr>
      <w:tr>
        <w:trPr/>
        <w:tc>
          <w:tcPr>
            <w:tcW w:w="3319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en-US" w:eastAsia="en-US" w:bidi="ar-SA"/>
              </w:rPr>
              <w:t>Microclimate</w:t>
            </w:r>
          </w:p>
        </w:tc>
        <w:tc>
          <w:tcPr>
            <w:tcW w:w="3033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</w:tr>
      <w:tr>
        <w:trPr/>
        <w:tc>
          <w:tcPr>
            <w:tcW w:w="3319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Average temperature (°C)</w:t>
            </w:r>
          </w:p>
        </w:tc>
        <w:tc>
          <w:tcPr>
            <w:tcW w:w="3033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(Aprigliano 2003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>M. myosuros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 xml:space="preserve"> (Aprigliano 2003)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Maximum temperature (°C)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>M. myosuros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 xml:space="preserve"> (Aprigliano 2003)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Minimum temperature (°C)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>M. myosuros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 xml:space="preserve"> (Aprigliano 2003)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 xml:space="preserve">% Average relative humidity 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>M. myosuros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 xml:space="preserve"> (Aprigliano 2003)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Average light (lumens)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(Aprigliano 2003)</w:t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(Aprigliano 2003)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M. myosuros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(Aprigliano 2003)</w:t>
            </w:r>
          </w:p>
        </w:tc>
      </w:tr>
      <w:tr>
        <w:trPr/>
        <w:tc>
          <w:tcPr>
            <w:tcW w:w="33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highlight w:val="cy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en-US" w:eastAsia="en-US" w:bidi="ar-SA"/>
              </w:rPr>
              <w:t>Microhabitat (aboveground)</w:t>
            </w: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highlight w:val="cy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highlight w:val="cyan"/>
                <w:lang w:val="pt-BR" w:eastAsia="en-US" w:bidi="ar-SA"/>
              </w:rPr>
            </w:r>
          </w:p>
        </w:tc>
        <w:tc>
          <w:tcPr>
            <w:tcW w:w="33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</w:tr>
      <w:tr>
        <w:trPr/>
        <w:tc>
          <w:tcPr>
            <w:tcW w:w="3319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Support diameter</w:t>
            </w:r>
          </w:p>
        </w:tc>
        <w:tc>
          <w:tcPr>
            <w:tcW w:w="3033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(Loretto &amp; Vieira 2008)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(Delciellos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 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2020)</w:t>
            </w:r>
          </w:p>
        </w:tc>
        <w:tc>
          <w:tcPr>
            <w:tcW w:w="3316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Support inclination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incanus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>(Loretto &amp; Vieira 2008)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P. quica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(Delciellos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 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2020)</w:t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Canopy Density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Understory Density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Clearing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Number of dead trees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Number of epiphytes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Terrain slope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Trees with fruits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Canopy height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Density of individual trees in the plot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Lianas on the tree up to 1 m away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Bromeliads on the tree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Bromeliads 3 m from the tree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Palm trees up to 1 m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Rocks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Rocks leaning against the tree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Tree suber texture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Diameter at the height of the chest of the tree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Height of the trunk of the tree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Height of the canopy of the tree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Depth of the canopy of the tree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Complexity of the tree canopy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Leaf obstruction at 2.5 m high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Leaf obstruction at 5 m high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en-US" w:eastAsia="en-US" w:bidi="ar-SA"/>
              </w:rPr>
              <w:t xml:space="preserve">C. philander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(Cobra 2010)</w:t>
            </w:r>
          </w:p>
        </w:tc>
      </w:tr>
      <w:tr>
        <w:trPr/>
        <w:tc>
          <w:tcPr>
            <w:tcW w:w="3319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en-US" w:eastAsia="en-US" w:bidi="ar-SA"/>
              </w:rPr>
              <w:t>Mesohabitat</w:t>
            </w:r>
          </w:p>
        </w:tc>
        <w:tc>
          <w:tcPr>
            <w:tcW w:w="3033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</w:tr>
      <w:tr>
        <w:trPr/>
        <w:tc>
          <w:tcPr>
            <w:tcW w:w="3319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 xml:space="preserve">% Plant cover on the ground, </w:t>
            </w:r>
          </w:p>
        </w:tc>
        <w:tc>
          <w:tcPr>
            <w:tcW w:w="3033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myosuros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P. quica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% Litter cover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P. quica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myosuros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% Rock cover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P. quica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myosuros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% Canopy cover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myosuros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P. quica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% Obstruction at 0–0.5m high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myosuros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P. quica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% Obstruction at 0.5–1.0m high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myosuros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P. quica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</w:tr>
      <w:tr>
        <w:trPr/>
        <w:tc>
          <w:tcPr>
            <w:tcW w:w="3319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% Obstruction at 1.0–1.5m high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331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lang w:val="en-US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4345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D. aurita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M. myosuros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  <w:p>
            <w:pPr>
              <w:pStyle w:val="Normal"/>
              <w:widowControl/>
              <w:spacing w:before="0" w:after="20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 xml:space="preserve">P. quica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(Moura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val="pt-BR" w:eastAsia="en-US" w:bidi="ar-SA"/>
              </w:rPr>
              <w:t>et al.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t-BR" w:eastAsia="en-US" w:bidi="ar-SA"/>
              </w:rPr>
              <w:t xml:space="preserve"> 2005)</w:t>
            </w:r>
          </w:p>
        </w:tc>
      </w:tr>
    </w:tbl>
    <w:p>
      <w:pPr>
        <w:sectPr>
          <w:type w:val="nextPage"/>
          <w:pgSz w:orient="landscape" w:w="16838" w:h="11906"/>
          <w:pgMar w:left="1412" w:right="1412" w:gutter="0" w:header="0" w:top="1701" w:footer="0" w:bottom="1701"/>
          <w:pgNumType w:fmt="decimal"/>
          <w:formProt w:val="false"/>
          <w:textDirection w:val="lrTb"/>
          <w:docGrid w:type="default" w:linePitch="360" w:charSpace="4096"/>
        </w:sectPr>
        <w:pStyle w:val="Normal"/>
        <w:spacing w:lineRule="auto" w:line="48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480" w:before="0" w:after="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REFERENCES</w:t>
      </w:r>
    </w:p>
    <w:p>
      <w:pPr>
        <w:pStyle w:val="Normal"/>
        <w:spacing w:lineRule="auto" w:line="480" w:before="0" w:after="0"/>
        <w:ind w:left="567" w:hanging="567"/>
        <w:rPr>
          <w:rFonts w:ascii="Times New Roman" w:hAnsi="Times New Roman" w:cs="Times New Roman"/>
        </w:rPr>
      </w:pPr>
      <w:bookmarkStart w:id="3" w:name="_Hlk99255210"/>
      <w:r>
        <w:rPr>
          <w:rFonts w:cs="Times New Roman" w:ascii="Times New Roman" w:hAnsi="Times New Roman"/>
        </w:rPr>
        <w:t>Aprigliano, P. 2003. Heterogeneidade espacial e variação temporal do microclima e seus efeitos sobre a ocorrência de três espécies de marsupiais. Master thesis. Departamento de Zoologia do Museu Nacional/Universidade Federal do Rio de Janeiro. p. 138.</w:t>
      </w:r>
      <w:bookmarkEnd w:id="3"/>
    </w:p>
    <w:p>
      <w:pPr>
        <w:pStyle w:val="Normal"/>
        <w:spacing w:lineRule="auto" w:line="480" w:before="0" w:after="160"/>
        <w:ind w:left="567" w:hanging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Cobra, P. P. A. 2010. Seleção de locais de abrigo por um marsupial arborícola, </w:t>
      </w:r>
      <w:r>
        <w:rPr>
          <w:rFonts w:cs="Times New Roman" w:ascii="Times New Roman" w:hAnsi="Times New Roman"/>
          <w:i/>
          <w:iCs/>
        </w:rPr>
        <w:t>Caluromys philander</w:t>
      </w:r>
      <w:r>
        <w:rPr>
          <w:rFonts w:cs="Times New Roman" w:ascii="Times New Roman" w:hAnsi="Times New Roman"/>
        </w:rPr>
        <w:t xml:space="preserve"> (Didelphimorphia, Didelphidae), através do método de ninhos artificiais. Master thesis. Departamento de Ecologia da Universidade Federal do Rio de Janeiro. p. 100.</w:t>
      </w:r>
    </w:p>
    <w:p>
      <w:pPr>
        <w:pStyle w:val="Normal"/>
        <w:spacing w:lineRule="auto" w:line="480" w:before="0" w:after="160"/>
        <w:ind w:left="567" w:hanging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Delciellos, A. C., Ribeiro, S. E., Prevedello, J. A., &amp; Vieira, M. V. 2020. </w:t>
      </w:r>
      <w:r>
        <w:rPr>
          <w:rFonts w:cs="Times New Roman" w:ascii="Times New Roman" w:hAnsi="Times New Roman"/>
          <w:lang w:val="en-US"/>
        </w:rPr>
        <w:t xml:space="preserve">Changes in aboveground locomotion of a scansorial opossum associated to habitat fragmentation. </w:t>
      </w:r>
      <w:r>
        <w:rPr>
          <w:rFonts w:cs="Times New Roman" w:ascii="Times New Roman" w:hAnsi="Times New Roman"/>
        </w:rPr>
        <w:t>Journal of Mammalogy, 101(4), 1097–1107. DOI: 10.1093/jmammal/gyaa044</w:t>
      </w:r>
    </w:p>
    <w:p>
      <w:pPr>
        <w:pStyle w:val="Normal"/>
        <w:spacing w:lineRule="auto" w:line="480" w:before="0" w:after="160"/>
        <w:ind w:left="567" w:hanging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Ferreira, P. S. 2009. Importância do habitat em estudos com mamíferos neotropicais - uma revisão do conceito e um estudo de caso com a cuíca </w:t>
      </w:r>
      <w:r>
        <w:rPr>
          <w:rFonts w:cs="Times New Roman" w:ascii="Times New Roman" w:hAnsi="Times New Roman"/>
          <w:i/>
          <w:iCs/>
        </w:rPr>
        <w:t>Marmosops incanus</w:t>
      </w:r>
      <w:r>
        <w:rPr>
          <w:rFonts w:cs="Times New Roman" w:ascii="Times New Roman" w:hAnsi="Times New Roman"/>
        </w:rPr>
        <w:t xml:space="preserve"> (Didelphimorphia: Didelphidae) na Serra dos Órgãos, RJ. Master thesis. Departamento de Ecologia da Universidade Federal do Rio de Janeiro. p. 112.</w:t>
      </w:r>
    </w:p>
    <w:p>
      <w:pPr>
        <w:pStyle w:val="Normal"/>
        <w:spacing w:lineRule="auto" w:line="480" w:before="0" w:after="160"/>
        <w:ind w:left="567" w:hanging="567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</w:rPr>
        <w:t>Freitas, S. R. 1998. Variação espacial e temporal na estrutura do habitat e preferência de microhabitat por pequenos mamíferos na Mata Atlântica. Master thesis.</w:t>
      </w:r>
      <w:r>
        <w:rPr>
          <w:rFonts w:cs="Times New Roman" w:ascii="Times New Roman" w:hAnsi="Times New Roman"/>
          <w:bCs/>
        </w:rPr>
        <w:t xml:space="preserve"> Departamento de Zoologia da Universidade Federal do Rio de Janeiro. p. 193.</w:t>
      </w:r>
    </w:p>
    <w:p>
      <w:pPr>
        <w:pStyle w:val="Normal"/>
        <w:spacing w:lineRule="auto" w:line="480" w:before="0" w:after="160"/>
        <w:ind w:left="567" w:hanging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Loretto, D., &amp; Vieira, M. V. 2008. </w:t>
      </w:r>
      <w:r>
        <w:rPr>
          <w:rFonts w:cs="Times New Roman" w:ascii="Times New Roman" w:hAnsi="Times New Roman"/>
          <w:lang w:val="en-US"/>
        </w:rPr>
        <w:t xml:space="preserve">Use of space by the marsupial </w:t>
      </w:r>
      <w:r>
        <w:rPr>
          <w:rFonts w:cs="Times New Roman" w:ascii="Times New Roman" w:hAnsi="Times New Roman"/>
          <w:i/>
          <w:iCs/>
          <w:lang w:val="en-US"/>
        </w:rPr>
        <w:t>Marmosops incanus</w:t>
      </w:r>
      <w:r>
        <w:rPr>
          <w:rFonts w:cs="Times New Roman" w:ascii="Times New Roman" w:hAnsi="Times New Roman"/>
          <w:lang w:val="en-US"/>
        </w:rPr>
        <w:t xml:space="preserve"> (Didelphimorphia, Didelphidae) in the Atlantic Forest, Brazil. </w:t>
      </w:r>
      <w:r>
        <w:rPr>
          <w:rFonts w:cs="Times New Roman" w:ascii="Times New Roman" w:hAnsi="Times New Roman"/>
        </w:rPr>
        <w:t>Mammalian Biology, 73(4), 255–261. DOI: 10.1016/j.mambio.2007.11.015</w:t>
      </w:r>
    </w:p>
    <w:p>
      <w:pPr>
        <w:pStyle w:val="Normal"/>
        <w:spacing w:lineRule="auto" w:line="480" w:before="0" w:after="160"/>
        <w:ind w:left="567" w:hanging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Moura, M. C., Caparelli, A. C., Freitas, S. R., &amp; Vieira, M. V. 2005. </w:t>
      </w:r>
      <w:r>
        <w:rPr>
          <w:rFonts w:cs="Times New Roman" w:ascii="Times New Roman" w:hAnsi="Times New Roman"/>
          <w:lang w:val="en-US"/>
        </w:rPr>
        <w:t xml:space="preserve">Scale-dependent habitat selection in three didelphid marsupials using the spool-and-line technique in the Atlantic Forest of Brazil. </w:t>
      </w:r>
      <w:r>
        <w:rPr>
          <w:rFonts w:cs="Times New Roman" w:ascii="Times New Roman" w:hAnsi="Times New Roman"/>
        </w:rPr>
        <w:t>Journal of Tropical Ecology, 21(3), 337–342. DOI: 10.1017/S0266467405002270</w:t>
      </w:r>
    </w:p>
    <w:p>
      <w:pPr>
        <w:pStyle w:val="Normal"/>
        <w:spacing w:lineRule="auto" w:line="480" w:before="0" w:after="0"/>
        <w:ind w:left="567" w:hanging="567"/>
        <w:rPr>
          <w:rFonts w:ascii="Times New Roman" w:hAnsi="Times New Roman" w:cs="Times New Roman"/>
        </w:rPr>
      </w:pPr>
      <w:r>
        <w:rPr/>
      </w:r>
    </w:p>
    <w:sectPr>
      <w:type w:val="nextPage"/>
      <w:pgSz w:w="11906" w:h="16838"/>
      <w:pgMar w:left="1699" w:right="1699" w:gutter="0" w:header="0" w:top="1411" w:footer="0" w:bottom="141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f749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0f749d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semiHidden/>
    <w:qFormat/>
    <w:rsid w:val="000f749d"/>
    <w:rPr>
      <w:sz w:val="20"/>
      <w:szCs w:val="20"/>
    </w:rPr>
  </w:style>
  <w:style w:type="character" w:styleId="CabealhoChar" w:customStyle="1">
    <w:name w:val="Cabeçalho Char"/>
    <w:basedOn w:val="DefaultParagraphFont"/>
    <w:uiPriority w:val="99"/>
    <w:qFormat/>
    <w:rsid w:val="00c44773"/>
    <w:rPr/>
  </w:style>
  <w:style w:type="character" w:styleId="RodapChar" w:customStyle="1">
    <w:name w:val="Rodapé Char"/>
    <w:basedOn w:val="DefaultParagraphFont"/>
    <w:uiPriority w:val="99"/>
    <w:qFormat/>
    <w:rsid w:val="00c44773"/>
    <w:rPr/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6e681b"/>
    <w:rPr>
      <w:b/>
      <w:bCs/>
      <w:sz w:val="20"/>
      <w:szCs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0f749d"/>
    <w:pPr>
      <w:spacing w:lineRule="auto" w:line="240"/>
    </w:pPr>
    <w:rPr>
      <w:sz w:val="20"/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c4477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c4477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unhideWhenUsed/>
    <w:qFormat/>
    <w:rsid w:val="00a6155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6e681b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0f74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LibreOffice/7.3.6.2$Linux_X86_64 LibreOffice_project/30$Build-2</Application>
  <AppVersion>15.0000</AppVersion>
  <Pages>9</Pages>
  <Words>1338</Words>
  <Characters>7023</Characters>
  <CharactersWithSpaces>8130</CharactersWithSpaces>
  <Paragraphs>226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2022-04-26T13:20:00Z</dcterms:created>
  <dc:creator>Delciellos</dc:creator>
  <dc:description/>
  <dc:language>en-US</dc:language>
  <cp:lastModifiedBy>Editor</cp:lastModifiedBy>
  <dcterms:modified xsi:type="dcterms:W3CDTF">2022-10-07T09:45:33Z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