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charts/chart1.xml" ContentType="application/vnd.openxmlformats-officedocument.drawingml.chart+xml"/>
  <Override PartName="/word/charts/chart2.xml" ContentType="application/vnd.openxmlformats-officedocument.drawingml.chart+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commentsExtended.xml" ContentType="application/vnd.openxmlformats-officedocument.wordprocessingml.commentsExtended+xml"/>
  <Override PartName="/word/numbering.xml" ContentType="application/vnd.openxmlformats-officedocument.wordprocessingml.numbering+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tulo1"/>
        <w:rPr>
          <w:lang w:val="en-US"/>
        </w:rPr>
      </w:pPr>
      <w:commentRangeStart w:id="0"/>
      <w:r>
        <w:rPr>
          <w:lang w:val="en-US"/>
        </w:rPr>
        <w:t>Figures</w:t>
      </w:r>
      <w:commentRangeEnd w:id="0"/>
      <w:r>
        <w:commentReference w:id="0"/>
      </w:r>
      <w:r>
        <w:rPr>
          <w:lang w:val="en-US"/>
        </w:rPr>
      </w:r>
    </w:p>
    <w:p>
      <w:pPr>
        <w:pStyle w:val="Normal"/>
        <w:spacing w:lineRule="auto" w:line="259" w:before="0" w:after="160"/>
        <w:jc w:val="left"/>
        <w:rPr>
          <w:lang w:val="en-US"/>
        </w:rPr>
      </w:pPr>
      <w:r>
        <w:rPr>
          <w:lang w:val="en-US"/>
        </w:rPr>
      </w:r>
    </w:p>
    <w:p>
      <w:pPr>
        <w:pStyle w:val="Normal"/>
        <w:spacing w:lineRule="auto" w:line="360" w:before="0" w:after="0"/>
        <w:ind w:firstLine="708"/>
        <w:rPr>
          <w:rFonts w:cs="Times New Roman"/>
          <w:sz w:val="24"/>
          <w:szCs w:val="24"/>
          <w:lang w:val="en-US"/>
        </w:rPr>
      </w:pPr>
      <w:r>
        <w:rPr>
          <w:rFonts w:cs="Times New Roman"/>
          <w:sz w:val="24"/>
          <w:szCs w:val="24"/>
          <w:lang w:val="en-US"/>
        </w:rPr>
      </w:r>
    </w:p>
    <w:tbl>
      <w:tblPr>
        <w:tblStyle w:val="Tabelacomgrade"/>
        <w:tblW w:w="850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505"/>
      </w:tblGrid>
      <w:tr>
        <w:trPr/>
        <w:tc>
          <w:tcPr>
            <w:tcW w:w="8505" w:type="dxa"/>
            <w:tcBorders>
              <w:top w:val="nil"/>
              <w:left w:val="nil"/>
              <w:bottom w:val="nil"/>
              <w:right w:val="nil"/>
            </w:tcBorders>
          </w:tcPr>
          <w:p>
            <w:pPr>
              <w:pStyle w:val="Normal"/>
              <w:keepNext w:val="true"/>
              <w:widowControl w:val="false"/>
              <w:suppressAutoHyphens w:val="true"/>
              <w:spacing w:lineRule="auto" w:line="360" w:before="0" w:after="200"/>
              <w:jc w:val="center"/>
              <w:rPr>
                <w:rFonts w:cs="Times New Roman"/>
                <w:sz w:val="24"/>
                <w:szCs w:val="24"/>
                <w:lang w:val="en-US"/>
              </w:rPr>
            </w:pPr>
            <w:r>
              <w:rPr>
                <w:kern w:val="0"/>
                <w:lang w:val="pt-BR" w:eastAsia="en-US" w:bidi="ar-SA"/>
              </w:rPr>
              <w:drawing>
                <wp:inline distT="0" distB="0" distL="0" distR="0">
                  <wp:extent cx="5463540" cy="4140200"/>
                  <wp:effectExtent l="0" t="0" r="0" b="0"/>
                  <wp:docPr id="1" name="Imagem 32" descr="C:\Users\Diogo Loretto\Documents\Meus Documentos\Labvert\Doutorado\Capítulos\Figuras\Armadilh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2" descr="C:\Users\Diogo Loretto\Documents\Meus Documentos\Labvert\Doutorado\Capítulos\Figuras\Armadilhas.png"/>
                          <pic:cNvPicPr>
                            <a:picLocks noChangeAspect="1" noChangeArrowheads="1"/>
                          </pic:cNvPicPr>
                        </pic:nvPicPr>
                        <pic:blipFill>
                          <a:blip r:embed="rId2"/>
                          <a:srcRect l="516" t="0" r="2721" b="3773"/>
                          <a:stretch>
                            <a:fillRect/>
                          </a:stretch>
                        </pic:blipFill>
                        <pic:spPr bwMode="auto">
                          <a:xfrm>
                            <a:off x="0" y="0"/>
                            <a:ext cx="5463540" cy="4140200"/>
                          </a:xfrm>
                          <a:prstGeom prst="rect">
                            <a:avLst/>
                          </a:prstGeom>
                        </pic:spPr>
                      </pic:pic>
                    </a:graphicData>
                  </a:graphic>
                </wp:inline>
              </w:drawing>
            </w:r>
          </w:p>
        </w:tc>
      </w:tr>
      <w:tr>
        <w:trPr/>
        <w:tc>
          <w:tcPr>
            <w:tcW w:w="8505" w:type="dxa"/>
            <w:tcBorders>
              <w:top w:val="nil"/>
              <w:left w:val="nil"/>
              <w:bottom w:val="nil"/>
              <w:right w:val="nil"/>
            </w:tcBorders>
          </w:tcPr>
          <w:p>
            <w:pPr>
              <w:pStyle w:val="Normal"/>
              <w:widowControl w:val="false"/>
              <w:suppressAutoHyphens w:val="true"/>
              <w:spacing w:before="0" w:after="200"/>
              <w:rPr>
                <w:lang w:val="en-US"/>
              </w:rPr>
            </w:pPr>
            <w:r>
              <w:rPr>
                <w:rFonts w:cs=""/>
                <w:kern w:val="0"/>
                <w:lang w:val="en-US" w:eastAsia="en-US" w:bidi="ar-SA"/>
              </w:rPr>
              <w:t>Figure 1. Sampling grid and spatial arrangement of trap stations (upper), where we set Sherman traps (canopy – A; understory - B) and Tomahawk traps (canopy – A) at Garrafão locality, Serra dos Órgãos National Park, Rio de Janeiro, Brazil.</w:t>
            </w:r>
          </w:p>
        </w:tc>
      </w:tr>
    </w:tbl>
    <w:p>
      <w:pPr>
        <w:pStyle w:val="Normal"/>
        <w:spacing w:lineRule="auto" w:line="259" w:before="0" w:after="160"/>
        <w:jc w:val="left"/>
        <w:rPr>
          <w:lang w:val="en-US"/>
        </w:rPr>
      </w:pPr>
      <w:r>
        <w:rPr>
          <w:lang w:val="en-US"/>
        </w:rPr>
      </w:r>
    </w:p>
    <w:p>
      <w:pPr>
        <w:pStyle w:val="Normal"/>
        <w:spacing w:lineRule="auto" w:line="259" w:before="0" w:after="160"/>
        <w:jc w:val="left"/>
        <w:rPr>
          <w:lang w:val="en-US"/>
        </w:rPr>
      </w:pPr>
      <w:r>
        <w:rPr>
          <w:lang w:val="en-US"/>
        </w:rPr>
      </w:r>
    </w:p>
    <w:p>
      <w:pPr>
        <w:pStyle w:val="Normal"/>
        <w:spacing w:lineRule="auto" w:line="259" w:before="0" w:after="160"/>
        <w:jc w:val="left"/>
        <w:rPr>
          <w:rFonts w:cs="Times New Roman"/>
          <w:sz w:val="24"/>
          <w:szCs w:val="24"/>
          <w:lang w:val="en-US"/>
        </w:rPr>
      </w:pPr>
      <w:r>
        <w:rPr>
          <w:rFonts w:cs="Times New Roman"/>
          <w:sz w:val="24"/>
          <w:szCs w:val="24"/>
          <w:lang w:val="en-US"/>
        </w:rPr>
      </w:r>
      <w:r>
        <w:br w:type="page"/>
      </w:r>
    </w:p>
    <w:tbl>
      <w:tblPr>
        <w:tblStyle w:val="Tabelacomgrade"/>
        <w:tblW w:w="8542" w:type="dxa"/>
        <w:jc w:val="left"/>
        <w:tblInd w:w="-38" w:type="dxa"/>
        <w:tblLayout w:type="fixed"/>
        <w:tblCellMar>
          <w:top w:w="0" w:type="dxa"/>
          <w:left w:w="70" w:type="dxa"/>
          <w:bottom w:w="0" w:type="dxa"/>
          <w:right w:w="70" w:type="dxa"/>
        </w:tblCellMar>
        <w:tblLook w:val="04a0" w:noHBand="0" w:noVBand="1" w:firstColumn="1" w:lastRow="0" w:lastColumn="0" w:firstRow="1"/>
      </w:tblPr>
      <w:tblGrid>
        <w:gridCol w:w="8542"/>
      </w:tblGrid>
      <w:tr>
        <w:trPr/>
        <w:tc>
          <w:tcPr>
            <w:tcW w:w="8542" w:type="dxa"/>
            <w:tcBorders>
              <w:top w:val="nil"/>
              <w:left w:val="nil"/>
              <w:bottom w:val="nil"/>
              <w:right w:val="nil"/>
            </w:tcBorders>
          </w:tcPr>
          <w:p>
            <w:pPr>
              <w:pStyle w:val="Normal"/>
              <w:keepNext w:val="true"/>
              <w:pageBreakBefore/>
              <w:widowControl w:val="false"/>
              <w:suppressAutoHyphens w:val="true"/>
              <w:spacing w:lineRule="auto" w:line="360" w:before="0" w:after="200"/>
              <w:rPr>
                <w:rFonts w:cs="Times New Roman"/>
                <w:sz w:val="24"/>
                <w:szCs w:val="24"/>
                <w:lang w:val="en-US"/>
              </w:rPr>
            </w:pPr>
            <w:r>
              <w:rPr>
                <w:kern w:val="0"/>
                <w:lang w:val="pt-BR" w:eastAsia="en-US" w:bidi="ar-SA"/>
              </w:rPr>
              <w:drawing>
                <wp:inline distT="0" distB="0" distL="0" distR="0">
                  <wp:extent cx="5400040" cy="3238500"/>
                  <wp:effectExtent l="0" t="0" r="0" b="0"/>
                  <wp:docPr id="2" name="Objeto1"/>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tc>
      </w:tr>
      <w:tr>
        <w:trPr/>
        <w:tc>
          <w:tcPr>
            <w:tcW w:w="8542" w:type="dxa"/>
            <w:tcBorders>
              <w:top w:val="nil"/>
              <w:left w:val="nil"/>
              <w:bottom w:val="nil"/>
              <w:right w:val="nil"/>
            </w:tcBorders>
          </w:tcPr>
          <w:p>
            <w:pPr>
              <w:pStyle w:val="Normal"/>
              <w:widowControl w:val="false"/>
              <w:suppressAutoHyphens w:val="true"/>
              <w:spacing w:before="0" w:after="200"/>
              <w:rPr>
                <w:lang w:val="en-US"/>
              </w:rPr>
            </w:pPr>
            <w:bookmarkStart w:id="0" w:name="_Toc321829985"/>
            <w:bookmarkStart w:id="1" w:name="_Toc312527017"/>
            <w:r>
              <w:rPr>
                <w:rFonts w:cs=""/>
                <w:kern w:val="0"/>
                <w:lang w:val="en-US" w:eastAsia="en-US" w:bidi="ar-SA"/>
              </w:rPr>
              <w:t>Figure 2. Bait use frequency in ecological studies concerning small mammals in Brazil. Y-axis scale resembles the total number of studies gathered.</w:t>
            </w:r>
            <w:bookmarkEnd w:id="0"/>
            <w:bookmarkEnd w:id="1"/>
          </w:p>
        </w:tc>
      </w:tr>
    </w:tbl>
    <w:p>
      <w:pPr>
        <w:pStyle w:val="Normal"/>
        <w:rPr>
          <w:lang w:val="en-US"/>
        </w:rPr>
      </w:pPr>
      <w:r>
        <w:rPr>
          <w:lang w:val="en-US"/>
        </w:rPr>
      </w:r>
    </w:p>
    <w:tbl>
      <w:tblPr>
        <w:tblStyle w:val="Tabelacomgrade"/>
        <w:tblW w:w="8542" w:type="dxa"/>
        <w:jc w:val="left"/>
        <w:tblInd w:w="-38" w:type="dxa"/>
        <w:tblLayout w:type="fixed"/>
        <w:tblCellMar>
          <w:top w:w="0" w:type="dxa"/>
          <w:left w:w="70" w:type="dxa"/>
          <w:bottom w:w="0" w:type="dxa"/>
          <w:right w:w="70" w:type="dxa"/>
        </w:tblCellMar>
        <w:tblLook w:val="04a0" w:noHBand="0" w:noVBand="1" w:firstColumn="1" w:lastRow="0" w:lastColumn="0" w:firstRow="1"/>
      </w:tblPr>
      <w:tblGrid>
        <w:gridCol w:w="8542"/>
      </w:tblGrid>
      <w:tr>
        <w:trPr/>
        <w:tc>
          <w:tcPr>
            <w:tcW w:w="8542" w:type="dxa"/>
            <w:tcBorders>
              <w:top w:val="nil"/>
              <w:left w:val="nil"/>
              <w:bottom w:val="nil"/>
              <w:right w:val="nil"/>
            </w:tcBorders>
          </w:tcPr>
          <w:p>
            <w:pPr>
              <w:pStyle w:val="Normal"/>
              <w:keepNext w:val="true"/>
              <w:widowControl w:val="false"/>
              <w:suppressAutoHyphens w:val="true"/>
              <w:spacing w:lineRule="auto" w:line="360" w:before="0" w:after="200"/>
              <w:rPr>
                <w:rFonts w:cs="Times New Roman"/>
                <w:sz w:val="24"/>
                <w:szCs w:val="24"/>
                <w:lang w:val="en-US"/>
              </w:rPr>
            </w:pPr>
            <w:r>
              <w:rPr>
                <w:kern w:val="0"/>
                <w:lang w:val="pt-BR" w:eastAsia="en-US" w:bidi="ar-SA"/>
              </w:rPr>
              <w:drawing>
                <wp:inline distT="0" distB="0" distL="0" distR="0">
                  <wp:extent cx="5612130" cy="2520315"/>
                  <wp:effectExtent l="0" t="0" r="0" b="0"/>
                  <wp:docPr id="3" name="Objeto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tc>
      </w:tr>
      <w:tr>
        <w:trPr/>
        <w:tc>
          <w:tcPr>
            <w:tcW w:w="8542" w:type="dxa"/>
            <w:tcBorders>
              <w:top w:val="nil"/>
              <w:left w:val="nil"/>
              <w:bottom w:val="nil"/>
              <w:right w:val="nil"/>
            </w:tcBorders>
          </w:tcPr>
          <w:p>
            <w:pPr>
              <w:pStyle w:val="Normal"/>
              <w:widowControl w:val="false"/>
              <w:suppressAutoHyphens w:val="true"/>
              <w:spacing w:before="0" w:after="200"/>
              <w:rPr>
                <w:lang w:val="en-US"/>
              </w:rPr>
            </w:pPr>
            <w:bookmarkStart w:id="2" w:name="_Toc312527018"/>
            <w:bookmarkStart w:id="3" w:name="_Toc321829988"/>
            <w:r>
              <w:rPr>
                <w:rFonts w:cs=""/>
                <w:kern w:val="0"/>
                <w:lang w:val="en-US" w:eastAsia="en-US" w:bidi="ar-SA"/>
              </w:rPr>
              <w:t>Figure 3. Bait use frequency in studies that used sampling effort to capture small arboreal mammals.</w:t>
            </w:r>
            <w:bookmarkEnd w:id="2"/>
            <w:bookmarkEnd w:id="3"/>
          </w:p>
        </w:tc>
      </w:tr>
    </w:tbl>
    <w:p>
      <w:pPr>
        <w:pStyle w:val="Normal"/>
        <w:rPr>
          <w:lang w:val="en-US"/>
        </w:rPr>
      </w:pPr>
      <w:r>
        <w:rPr>
          <w:lang w:val="en-US"/>
        </w:rPr>
      </w:r>
    </w:p>
    <w:p>
      <w:pPr>
        <w:pStyle w:val="Normal"/>
        <w:spacing w:lineRule="auto" w:line="259" w:before="0" w:after="160"/>
        <w:jc w:val="left"/>
        <w:rPr>
          <w:rFonts w:cs="Times New Roman"/>
          <w:sz w:val="24"/>
          <w:lang w:val="en-US"/>
        </w:rPr>
      </w:pPr>
      <w:r>
        <w:rPr>
          <w:rFonts w:cs="Times New Roman"/>
          <w:sz w:val="24"/>
          <w:lang w:val="en-US"/>
        </w:rPr>
      </w:r>
      <w:r>
        <w:br w:type="page"/>
      </w:r>
    </w:p>
    <w:p>
      <w:pPr>
        <w:pStyle w:val="Ttulo1"/>
        <w:rPr>
          <w:lang w:val="en-US"/>
        </w:rPr>
      </w:pPr>
      <w:commentRangeStart w:id="1"/>
      <w:r>
        <w:rPr>
          <w:lang w:val="en-US"/>
        </w:rPr>
        <w:t>Tables</w:t>
      </w:r>
      <w:commentRangeEnd w:id="1"/>
      <w:r>
        <w:commentReference w:id="1"/>
      </w:r>
      <w:r>
        <w:rPr>
          <w:lang w:val="en-US"/>
        </w:rPr>
      </w:r>
    </w:p>
    <w:p>
      <w:pPr>
        <w:pStyle w:val="Normal"/>
        <w:spacing w:lineRule="auto" w:line="240" w:before="0" w:after="0"/>
        <w:rPr>
          <w:rFonts w:cs="Times New Roman"/>
          <w:szCs w:val="24"/>
          <w:lang w:val="en-US"/>
        </w:rPr>
      </w:pPr>
      <w:r>
        <w:rPr>
          <w:rFonts w:cs="Times New Roman"/>
          <w:szCs w:val="24"/>
          <w:lang w:val="en-US"/>
        </w:rPr>
        <w:t xml:space="preserve">Table I. Small mammal species captured during the field experiment, at Garrafão locality, Serra dos Órgãos National Park, Rio de Janeiro, Brazil. Number of individuals and captures also presented per forest strata under parenthesis. </w:t>
      </w:r>
      <w:r>
        <w:rPr>
          <w:rFonts w:cs="Times New Roman"/>
          <w:lang w:val="en-US"/>
        </w:rPr>
        <w:t>US – understory; Can – canopy.</w:t>
      </w:r>
    </w:p>
    <w:tbl>
      <w:tblPr>
        <w:tblStyle w:val="SombreamentoClaro1"/>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2466"/>
        <w:gridCol w:w="2490"/>
        <w:gridCol w:w="2048"/>
        <w:gridCol w:w="1499"/>
      </w:tblGrid>
      <w:tr>
        <w:trPr>
          <w:trHeight w:val="300" w:hRule="atLeast"/>
          <w:cnfStyle w:val="100000000000" w:firstRow="1" w:lastRow="0" w:firstColumn="0" w:lastColumn="0" w:oddVBand="0" w:evenVBand="0" w:oddHBand="0" w:evenHBand="0" w:firstRowFirstColumn="0" w:firstRowLastColumn="0" w:lastRowFirstColumn="0" w:lastRowLastColumn="0"/>
        </w:trPr>
        <w:tc>
          <w:tcPr>
            <w:tcW w:w="246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lineRule="auto" w:line="240" w:before="0" w:after="0"/>
              <w:jc w:val="center"/>
              <w:rPr>
                <w:rFonts w:cs="Times New Roman"/>
                <w:b w:val="false"/>
                <w:b w:val="false"/>
                <w:bCs w:val="false"/>
                <w:lang w:val="en-US"/>
              </w:rPr>
            </w:pPr>
            <w:r>
              <w:rPr>
                <w:rFonts w:cs="Times New Roman"/>
                <w:b w:val="false"/>
                <w:bCs w:val="false"/>
                <w:color w:val="000000"/>
                <w:kern w:val="0"/>
                <w:lang w:val="en-US" w:eastAsia="en-US" w:bidi="ar-SA"/>
              </w:rPr>
              <w:t>Species</w:t>
            </w:r>
          </w:p>
        </w:tc>
        <w:tc>
          <w:tcPr>
            <w:tcW w:w="2490"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b w:val="false"/>
                <w:b w:val="false"/>
                <w:bCs w:val="false"/>
                <w:lang w:val="en-US"/>
              </w:rPr>
            </w:pPr>
            <w:r>
              <w:rPr>
                <w:rFonts w:cs="Times New Roman"/>
                <w:b w:val="false"/>
                <w:bCs w:val="false"/>
                <w:color w:val="000000"/>
                <w:kern w:val="0"/>
                <w:lang w:val="en-US" w:eastAsia="en-US" w:bidi="ar-SA"/>
              </w:rPr>
              <w:t>Individuals (forest strata)</w:t>
            </w:r>
          </w:p>
        </w:tc>
        <w:tc>
          <w:tcPr>
            <w:tcW w:w="2048"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b w:val="false"/>
                <w:b w:val="false"/>
                <w:bCs w:val="false"/>
                <w:lang w:val="en-US"/>
              </w:rPr>
            </w:pPr>
            <w:r>
              <w:rPr>
                <w:rFonts w:cs="Times New Roman"/>
                <w:b w:val="false"/>
                <w:bCs w:val="false"/>
                <w:color w:val="000000"/>
                <w:kern w:val="0"/>
                <w:lang w:val="en-US" w:eastAsia="en-US" w:bidi="ar-SA"/>
              </w:rPr>
              <w:t>Captures (forest strata)</w:t>
            </w:r>
          </w:p>
        </w:tc>
        <w:tc>
          <w:tcPr>
            <w:tcW w:w="1499"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b w:val="false"/>
                <w:b w:val="false"/>
                <w:bCs w:val="false"/>
                <w:lang w:val="en-US"/>
              </w:rPr>
            </w:pPr>
            <w:r>
              <w:rPr>
                <w:rFonts w:cs="Times New Roman"/>
                <w:b w:val="false"/>
                <w:bCs w:val="false"/>
                <w:color w:val="000000"/>
                <w:kern w:val="0"/>
                <w:lang w:val="en-US" w:eastAsia="en-US" w:bidi="ar-SA"/>
              </w:rPr>
              <w:t>Capture success</w:t>
            </w:r>
          </w:p>
        </w:tc>
      </w:tr>
      <w:tr>
        <w:trPr>
          <w:trHeight w:val="300" w:hRule="atLeast"/>
          <w:cnfStyle w:val="000000100000" w:firstRow="0" w:lastRow="0" w:firstColumn="0" w:lastColumn="0" w:oddVBand="0" w:evenVBand="0" w:oddHBand="1" w:evenHBand="0" w:firstRowFirstColumn="0" w:firstRowLastColumn="0" w:lastRowFirstColumn="0" w:lastRowLastColumn="0"/>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Caluromys philander</w:t>
            </w:r>
          </w:p>
        </w:tc>
        <w:tc>
          <w:tcPr>
            <w:tcW w:w="2490"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9 (9 Can; 1 US)</w:t>
            </w:r>
          </w:p>
        </w:tc>
        <w:tc>
          <w:tcPr>
            <w:tcW w:w="2048"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35 (34 Can; 1 US)</w:t>
            </w:r>
          </w:p>
        </w:tc>
        <w:tc>
          <w:tcPr>
            <w:tcW w:w="1499"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1,22%</w:t>
            </w:r>
          </w:p>
        </w:tc>
      </w:tr>
      <w:tr>
        <w:trPr>
          <w:trHeight w:val="300" w:hRule="atLeast"/>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Didelphis aurita</w:t>
            </w:r>
          </w:p>
        </w:tc>
        <w:tc>
          <w:tcPr>
            <w:tcW w:w="249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7 (7 Can; 1 US)</w:t>
            </w:r>
          </w:p>
        </w:tc>
        <w:tc>
          <w:tcPr>
            <w:tcW w:w="2048"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9 (8 Can; 1 US)</w:t>
            </w:r>
          </w:p>
        </w:tc>
        <w:tc>
          <w:tcPr>
            <w:tcW w:w="149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0,31%</w:t>
            </w:r>
          </w:p>
        </w:tc>
      </w:tr>
      <w:tr>
        <w:trPr>
          <w:trHeight w:val="300" w:hRule="atLeast"/>
          <w:cnfStyle w:val="000000100000" w:firstRow="0" w:lastRow="0" w:firstColumn="0" w:lastColumn="0" w:oddVBand="0" w:evenVBand="0" w:oddHBand="1" w:evenHBand="0" w:firstRowFirstColumn="0" w:firstRowLastColumn="0" w:lastRowFirstColumn="0" w:lastRowLastColumn="0"/>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Eurioryzomys russatus</w:t>
            </w:r>
          </w:p>
        </w:tc>
        <w:tc>
          <w:tcPr>
            <w:tcW w:w="2490"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1 (US)</w:t>
            </w:r>
          </w:p>
        </w:tc>
        <w:tc>
          <w:tcPr>
            <w:tcW w:w="2048"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1 (US)</w:t>
            </w:r>
          </w:p>
        </w:tc>
        <w:tc>
          <w:tcPr>
            <w:tcW w:w="1499"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0,03%</w:t>
            </w:r>
          </w:p>
        </w:tc>
      </w:tr>
      <w:tr>
        <w:trPr>
          <w:trHeight w:val="300" w:hRule="atLeast"/>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Guerlinguetus brasiliensis</w:t>
            </w:r>
          </w:p>
        </w:tc>
        <w:tc>
          <w:tcPr>
            <w:tcW w:w="249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3 (US)</w:t>
            </w:r>
          </w:p>
        </w:tc>
        <w:tc>
          <w:tcPr>
            <w:tcW w:w="2048"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4 (US)</w:t>
            </w:r>
          </w:p>
        </w:tc>
        <w:tc>
          <w:tcPr>
            <w:tcW w:w="149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0,14%</w:t>
            </w:r>
          </w:p>
        </w:tc>
      </w:tr>
      <w:tr>
        <w:trPr>
          <w:trHeight w:val="300" w:hRule="atLeast"/>
          <w:cnfStyle w:val="000000100000" w:firstRow="0" w:lastRow="0" w:firstColumn="0" w:lastColumn="0" w:oddVBand="0" w:evenVBand="0" w:oddHBand="1" w:evenHBand="0" w:firstRowFirstColumn="0" w:firstRowLastColumn="0" w:lastRowFirstColumn="0" w:lastRowLastColumn="0"/>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Marmosops incanus</w:t>
            </w:r>
          </w:p>
        </w:tc>
        <w:tc>
          <w:tcPr>
            <w:tcW w:w="2490"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17 (US)</w:t>
            </w:r>
          </w:p>
        </w:tc>
        <w:tc>
          <w:tcPr>
            <w:tcW w:w="2048"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35 (US)</w:t>
            </w:r>
          </w:p>
        </w:tc>
        <w:tc>
          <w:tcPr>
            <w:tcW w:w="1499"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1,22%</w:t>
            </w:r>
          </w:p>
        </w:tc>
      </w:tr>
      <w:tr>
        <w:trPr>
          <w:trHeight w:val="300" w:hRule="atLeast"/>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Metachirus myosurus</w:t>
            </w:r>
          </w:p>
        </w:tc>
        <w:tc>
          <w:tcPr>
            <w:tcW w:w="249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1 (US)</w:t>
            </w:r>
          </w:p>
        </w:tc>
        <w:tc>
          <w:tcPr>
            <w:tcW w:w="2048"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3 (US)</w:t>
            </w:r>
          </w:p>
        </w:tc>
        <w:tc>
          <w:tcPr>
            <w:tcW w:w="149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0,10%</w:t>
            </w:r>
          </w:p>
        </w:tc>
      </w:tr>
      <w:tr>
        <w:trPr>
          <w:trHeight w:val="300" w:hRule="atLeast"/>
          <w:cnfStyle w:val="000000100000" w:firstRow="0" w:lastRow="0" w:firstColumn="0" w:lastColumn="0" w:oddVBand="0" w:evenVBand="0" w:oddHBand="1" w:evenHBand="0" w:firstRowFirstColumn="0" w:firstRowLastColumn="0" w:lastRowFirstColumn="0" w:lastRowLastColumn="0"/>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Marmosa paraguayana</w:t>
            </w:r>
          </w:p>
        </w:tc>
        <w:tc>
          <w:tcPr>
            <w:tcW w:w="2490"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8 (8 Can; 7 US)</w:t>
            </w:r>
          </w:p>
        </w:tc>
        <w:tc>
          <w:tcPr>
            <w:tcW w:w="2048"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38 (18 Can; 20 US)</w:t>
            </w:r>
          </w:p>
        </w:tc>
        <w:tc>
          <w:tcPr>
            <w:tcW w:w="1499"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1,32%</w:t>
            </w:r>
          </w:p>
        </w:tc>
      </w:tr>
      <w:tr>
        <w:trPr>
          <w:trHeight w:val="300" w:hRule="atLeast"/>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Philander quica</w:t>
            </w:r>
          </w:p>
        </w:tc>
        <w:tc>
          <w:tcPr>
            <w:tcW w:w="249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5 (3 Can; 3 US)</w:t>
            </w:r>
          </w:p>
        </w:tc>
        <w:tc>
          <w:tcPr>
            <w:tcW w:w="2048"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9 (6 Can; 3 US)</w:t>
            </w:r>
          </w:p>
        </w:tc>
        <w:tc>
          <w:tcPr>
            <w:tcW w:w="149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0,31%</w:t>
            </w:r>
          </w:p>
        </w:tc>
      </w:tr>
      <w:tr>
        <w:trPr>
          <w:trHeight w:val="300" w:hRule="atLeast"/>
          <w:cnfStyle w:val="000000100000" w:firstRow="0" w:lastRow="0" w:firstColumn="0" w:lastColumn="0" w:oddVBand="0" w:evenVBand="0" w:oddHBand="1" w:evenHBand="0" w:firstRowFirstColumn="0" w:firstRowLastColumn="0" w:lastRowFirstColumn="0" w:lastRowLastColumn="0"/>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Rhipidomys itoan</w:t>
            </w:r>
          </w:p>
        </w:tc>
        <w:tc>
          <w:tcPr>
            <w:tcW w:w="2490"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6 (5 Can; 5 US)</w:t>
            </w:r>
          </w:p>
        </w:tc>
        <w:tc>
          <w:tcPr>
            <w:tcW w:w="2048"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22 (14 Can; 8 US)</w:t>
            </w:r>
          </w:p>
        </w:tc>
        <w:tc>
          <w:tcPr>
            <w:tcW w:w="1499" w:type="dxa"/>
            <w:tcBorders>
              <w:top w:val="nil"/>
              <w:bottom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0,76%</w:t>
            </w:r>
          </w:p>
        </w:tc>
      </w:tr>
      <w:tr>
        <w:trPr>
          <w:trHeight w:val="300" w:hRule="atLeast"/>
        </w:trPr>
        <w:tc>
          <w:tcPr>
            <w:tcW w:w="246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center"/>
              <w:rPr>
                <w:rFonts w:cs="Times New Roman"/>
                <w:i/>
                <w:i/>
                <w:iCs/>
                <w:lang w:val="en-US"/>
              </w:rPr>
            </w:pPr>
            <w:r>
              <w:rPr>
                <w:rFonts w:cs="Times New Roman"/>
                <w:b/>
                <w:bCs/>
                <w:i/>
                <w:iCs/>
                <w:color w:val="000000"/>
                <w:kern w:val="0"/>
                <w:lang w:val="en-US" w:eastAsia="en-US" w:bidi="ar-SA"/>
              </w:rPr>
              <w:t>Trinomys dimidiatus</w:t>
            </w:r>
          </w:p>
        </w:tc>
        <w:tc>
          <w:tcPr>
            <w:tcW w:w="249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2 (US)</w:t>
            </w:r>
          </w:p>
        </w:tc>
        <w:tc>
          <w:tcPr>
            <w:tcW w:w="2048"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2 (US)</w:t>
            </w:r>
          </w:p>
        </w:tc>
        <w:tc>
          <w:tcPr>
            <w:tcW w:w="149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color w:val="000000"/>
                <w:kern w:val="0"/>
                <w:lang w:val="en-US" w:eastAsia="en-US" w:bidi="ar-SA"/>
              </w:rPr>
              <w:t>0,07%</w:t>
            </w:r>
          </w:p>
        </w:tc>
      </w:tr>
      <w:tr>
        <w:trPr>
          <w:trHeight w:val="300" w:hRule="atLeast"/>
          <w:cnfStyle w:val="000000100000" w:firstRow="0" w:lastRow="0" w:firstColumn="0" w:lastColumn="0" w:oddVBand="0" w:evenVBand="0" w:oddHBand="1" w:evenHBand="0" w:firstRowFirstColumn="0" w:firstRowLastColumn="0" w:lastRowFirstColumn="0" w:lastRowLastColumn="0"/>
        </w:trPr>
        <w:tc>
          <w:tcPr>
            <w:tcW w:w="2466" w:type="dxa"/>
            <w:cnfStyle w:val="001000000000" w:firstRow="0" w:lastRow="0" w:firstColumn="1" w:lastColumn="0" w:oddVBand="0" w:evenVBand="0" w:oddHBand="0" w:evenHBand="0" w:firstRowFirstColumn="0" w:firstRowLastColumn="0" w:lastRowFirstColumn="0" w:lastRowLastColumn="0"/>
            <w:tcBorders>
              <w:top w:val="nil"/>
            </w:tcBorders>
            <w:shd w:color="auto" w:fill="C0C0C0" w:themeFill="text1" w:themeFillTint="3f" w:val="clear"/>
            <w:vAlign w:val="center"/>
          </w:tcPr>
          <w:p>
            <w:pPr>
              <w:pStyle w:val="Normal"/>
              <w:widowControl w:val="false"/>
              <w:suppressAutoHyphens w:val="true"/>
              <w:spacing w:lineRule="auto" w:line="240" w:before="0" w:after="0"/>
              <w:jc w:val="center"/>
              <w:rPr>
                <w:rFonts w:cs="Times New Roman"/>
                <w:lang w:val="en-US"/>
              </w:rPr>
            </w:pPr>
            <w:r>
              <w:rPr>
                <w:rFonts w:cs="Times New Roman"/>
                <w:b/>
                <w:bCs/>
                <w:color w:val="000000"/>
                <w:kern w:val="0"/>
                <w:lang w:val="en-US" w:eastAsia="en-US" w:bidi="ar-SA"/>
              </w:rPr>
              <w:t>Total Geral</w:t>
            </w:r>
          </w:p>
        </w:tc>
        <w:tc>
          <w:tcPr>
            <w:tcW w:w="2490" w:type="dxa"/>
            <w:tcBorders>
              <w:top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58 (32 Can; 40 US)</w:t>
            </w:r>
          </w:p>
        </w:tc>
        <w:tc>
          <w:tcPr>
            <w:tcW w:w="2048" w:type="dxa"/>
            <w:tcBorders>
              <w:top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158 (80 Can; 78 US)</w:t>
            </w:r>
          </w:p>
        </w:tc>
        <w:tc>
          <w:tcPr>
            <w:tcW w:w="1499" w:type="dxa"/>
            <w:tcBorders>
              <w:top w:val="nil"/>
            </w:tcBorders>
            <w:shd w:color="auto" w:fill="C0C0C0" w:themeFill="text1"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color w:val="000000"/>
                <w:kern w:val="0"/>
                <w:lang w:val="en-US" w:eastAsia="en-US" w:bidi="ar-SA"/>
              </w:rPr>
              <w:t>5,49%</w:t>
            </w:r>
          </w:p>
        </w:tc>
      </w:tr>
    </w:tbl>
    <w:p>
      <w:pPr>
        <w:pStyle w:val="Normal"/>
        <w:spacing w:lineRule="auto" w:line="360" w:before="240" w:after="0"/>
        <w:ind w:firstLine="708"/>
        <w:rPr>
          <w:rFonts w:cs="Times New Roman"/>
          <w:sz w:val="24"/>
          <w:szCs w:val="24"/>
          <w:lang w:val="en-US"/>
        </w:rPr>
      </w:pPr>
      <w:r>
        <w:rPr>
          <w:rFonts w:cs="Times New Roman"/>
          <w:sz w:val="24"/>
          <w:szCs w:val="24"/>
          <w:lang w:val="en-US"/>
        </w:rPr>
      </w:r>
    </w:p>
    <w:p>
      <w:pPr>
        <w:pStyle w:val="Normal"/>
        <w:spacing w:lineRule="auto" w:line="240" w:before="0" w:after="0"/>
        <w:rPr>
          <w:rFonts w:cs="Times New Roman"/>
          <w:szCs w:val="24"/>
          <w:lang w:val="en-US"/>
        </w:rPr>
      </w:pPr>
      <w:r>
        <w:rPr>
          <w:rFonts w:cs="Times New Roman"/>
          <w:szCs w:val="24"/>
          <w:lang w:val="en-US"/>
        </w:rPr>
        <w:t>Table II. Number of individuals captured (Ind.), total number of captures (Capt.), capture success (CS) and species richness obtained per sampling section during the field experiment, at Garrafão locality, Serra dos Órgãos National Park, Rio de Janeiro, Brazil.</w:t>
      </w:r>
    </w:p>
    <w:tbl>
      <w:tblPr>
        <w:tblStyle w:val="SombreamentoClaro-nfase3"/>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2165"/>
        <w:gridCol w:w="2029"/>
        <w:gridCol w:w="1076"/>
        <w:gridCol w:w="1079"/>
        <w:gridCol w:w="1080"/>
        <w:gridCol w:w="1074"/>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2165"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Sampling session</w:t>
            </w:r>
          </w:p>
        </w:tc>
        <w:tc>
          <w:tcPr>
            <w:tcW w:w="2029"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Effort</w:t>
            </w:r>
          </w:p>
        </w:tc>
        <w:tc>
          <w:tcPr>
            <w:tcW w:w="1076"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Ind.</w:t>
            </w:r>
          </w:p>
        </w:tc>
        <w:tc>
          <w:tcPr>
            <w:tcW w:w="1079"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Capt.</w:t>
            </w:r>
          </w:p>
        </w:tc>
        <w:tc>
          <w:tcPr>
            <w:tcW w:w="1080"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CS (%)</w:t>
            </w:r>
          </w:p>
        </w:tc>
        <w:tc>
          <w:tcPr>
            <w:tcW w:w="1074"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Richness</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165"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1</w:t>
            </w:r>
          </w:p>
        </w:tc>
        <w:tc>
          <w:tcPr>
            <w:tcW w:w="2029" w:type="dxa"/>
            <w:vMerge w:val="restart"/>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720 trap-nights</w:t>
            </w:r>
          </w:p>
        </w:tc>
        <w:tc>
          <w:tcPr>
            <w:tcW w:w="107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23</w:t>
            </w:r>
          </w:p>
        </w:tc>
        <w:tc>
          <w:tcPr>
            <w:tcW w:w="1079"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36</w:t>
            </w:r>
          </w:p>
        </w:tc>
        <w:tc>
          <w:tcPr>
            <w:tcW w:w="108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5,0</w:t>
            </w:r>
          </w:p>
        </w:tc>
        <w:tc>
          <w:tcPr>
            <w:tcW w:w="107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w:t>
            </w:r>
          </w:p>
        </w:tc>
      </w:tr>
      <w:tr>
        <w:trPr>
          <w:trHeight w:val="283" w:hRule="atLeast"/>
        </w:trPr>
        <w:tc>
          <w:tcPr>
            <w:tcW w:w="2165"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2</w:t>
            </w:r>
          </w:p>
        </w:tc>
        <w:tc>
          <w:tcPr>
            <w:tcW w:w="2029" w:type="dxa"/>
            <w:vMerge w:val="continue"/>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7B7B7B"/>
                <w:kern w:val="0"/>
                <w:lang w:val="pt-BR" w:eastAsia="en-US" w:bidi="ar-SA"/>
              </w:rPr>
            </w:r>
          </w:p>
        </w:tc>
        <w:tc>
          <w:tcPr>
            <w:tcW w:w="1076"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24</w:t>
            </w:r>
          </w:p>
        </w:tc>
        <w:tc>
          <w:tcPr>
            <w:tcW w:w="1079"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34</w:t>
            </w:r>
          </w:p>
        </w:tc>
        <w:tc>
          <w:tcPr>
            <w:tcW w:w="108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4,7</w:t>
            </w:r>
          </w:p>
        </w:tc>
        <w:tc>
          <w:tcPr>
            <w:tcW w:w="1074"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165"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3</w:t>
            </w:r>
          </w:p>
        </w:tc>
        <w:tc>
          <w:tcPr>
            <w:tcW w:w="2029" w:type="dxa"/>
            <w:vMerge w:val="continue"/>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7B7B7B"/>
                <w:kern w:val="0"/>
                <w:lang w:val="pt-BR" w:eastAsia="en-US" w:bidi="ar-SA"/>
              </w:rPr>
            </w:r>
          </w:p>
        </w:tc>
        <w:tc>
          <w:tcPr>
            <w:tcW w:w="1076"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28</w:t>
            </w:r>
          </w:p>
        </w:tc>
        <w:tc>
          <w:tcPr>
            <w:tcW w:w="1079"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49</w:t>
            </w:r>
          </w:p>
        </w:tc>
        <w:tc>
          <w:tcPr>
            <w:tcW w:w="108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6,8</w:t>
            </w:r>
          </w:p>
        </w:tc>
        <w:tc>
          <w:tcPr>
            <w:tcW w:w="1074"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w:t>
            </w:r>
          </w:p>
        </w:tc>
      </w:tr>
      <w:tr>
        <w:trPr>
          <w:trHeight w:val="283" w:hRule="atLeast"/>
        </w:trPr>
        <w:tc>
          <w:tcPr>
            <w:tcW w:w="2165" w:type="dxa"/>
            <w:cnfStyle w:val="001000000000" w:firstRow="0" w:lastRow="0" w:firstColumn="1" w:lastColumn="0" w:oddVBand="0" w:evenVBand="0" w:oddHBand="0" w:evenHBand="0" w:firstRowFirstColumn="0" w:firstRowLastColumn="0" w:lastRowFirstColumn="0" w:lastRowLastColumn="0"/>
            <w:tcBorders>
              <w:top w:val="nil"/>
            </w:tcBorders>
            <w:vAlign w:val="center"/>
          </w:tcPr>
          <w:p>
            <w:pPr>
              <w:pStyle w:val="Normal"/>
              <w:widowControl w:val="false"/>
              <w:suppressAutoHyphens w:val="true"/>
              <w:spacing w:lineRule="auto" w:line="240" w:before="0" w:after="0"/>
              <w:jc w:val="center"/>
              <w:rPr>
                <w:rFonts w:cs="Times New Roman"/>
                <w:color w:val="auto"/>
                <w:lang w:val="en-US"/>
              </w:rPr>
            </w:pPr>
            <w:r>
              <w:rPr>
                <w:rFonts w:cs="Times New Roman"/>
                <w:b/>
                <w:bCs/>
                <w:color w:val="auto"/>
                <w:kern w:val="0"/>
                <w:lang w:val="en-US" w:eastAsia="en-US" w:bidi="ar-SA"/>
              </w:rPr>
              <w:t>4</w:t>
            </w:r>
          </w:p>
        </w:tc>
        <w:tc>
          <w:tcPr>
            <w:tcW w:w="2029" w:type="dxa"/>
            <w:vMerge w:val="continue"/>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7B7B7B"/>
                <w:kern w:val="0"/>
                <w:lang w:val="pt-BR" w:eastAsia="en-US" w:bidi="ar-SA"/>
              </w:rPr>
            </w:r>
          </w:p>
        </w:tc>
        <w:tc>
          <w:tcPr>
            <w:tcW w:w="1076"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21</w:t>
            </w:r>
          </w:p>
        </w:tc>
        <w:tc>
          <w:tcPr>
            <w:tcW w:w="1079"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39</w:t>
            </w:r>
          </w:p>
        </w:tc>
        <w:tc>
          <w:tcPr>
            <w:tcW w:w="1080"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5,4</w:t>
            </w:r>
          </w:p>
        </w:tc>
        <w:tc>
          <w:tcPr>
            <w:tcW w:w="1074" w:type="dxa"/>
            <w:tcBorders>
              <w:top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w:t>
            </w:r>
          </w:p>
        </w:tc>
      </w:tr>
    </w:tbl>
    <w:p>
      <w:pPr>
        <w:pStyle w:val="Normal"/>
        <w:spacing w:lineRule="auto" w:line="360" w:before="240" w:after="0"/>
        <w:ind w:firstLine="708"/>
        <w:rPr>
          <w:rFonts w:cs="Times New Roman"/>
          <w:sz w:val="24"/>
          <w:szCs w:val="24"/>
          <w:lang w:val="en-US"/>
        </w:rPr>
      </w:pPr>
      <w:r>
        <w:rPr>
          <w:rFonts w:cs="Times New Roman"/>
          <w:sz w:val="24"/>
          <w:szCs w:val="24"/>
          <w:lang w:val="en-US"/>
        </w:rPr>
      </w:r>
    </w:p>
    <w:p>
      <w:pPr>
        <w:pStyle w:val="Normal"/>
        <w:spacing w:lineRule="auto" w:line="240" w:before="0" w:after="0"/>
        <w:rPr>
          <w:rFonts w:cs="Times New Roman"/>
          <w:lang w:val="en-US"/>
        </w:rPr>
      </w:pPr>
      <w:r>
        <w:rPr>
          <w:rFonts w:cs="Times New Roman"/>
          <w:lang w:val="en-US"/>
        </w:rPr>
        <w:t>Table III. Number of individuals (Ind.) and number of captures (Capt.) per edible bait used during the bait test developed at Garrafão locality, Serra dos Órgãos National Park, Rio de Janeiro, Brazil.</w:t>
      </w:r>
    </w:p>
    <w:tbl>
      <w:tblPr>
        <w:tblStyle w:val="SombreamentoClaro-nfase3"/>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16"/>
        <w:gridCol w:w="1213"/>
        <w:gridCol w:w="1215"/>
        <w:gridCol w:w="1216"/>
        <w:gridCol w:w="1215"/>
        <w:gridCol w:w="1212"/>
        <w:gridCol w:w="1216"/>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1216"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Bait</w:t>
            </w:r>
          </w:p>
        </w:tc>
        <w:tc>
          <w:tcPr>
            <w:tcW w:w="2428" w:type="dxa"/>
            <w:gridSpan w:val="2"/>
            <w:tcBorders/>
            <w:vAlign w:val="center"/>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 xml:space="preserve">Understory </w:t>
            </w:r>
          </w:p>
        </w:tc>
        <w:tc>
          <w:tcPr>
            <w:tcW w:w="2431" w:type="dxa"/>
            <w:gridSpan w:val="2"/>
            <w:tcBorders/>
            <w:vAlign w:val="center"/>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Canopy</w:t>
            </w:r>
          </w:p>
        </w:tc>
        <w:tc>
          <w:tcPr>
            <w:tcW w:w="2428" w:type="dxa"/>
            <w:gridSpan w:val="2"/>
            <w:tcBorders/>
            <w:vAlign w:val="center"/>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Total</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21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before="0" w:after="0"/>
              <w:jc w:val="left"/>
              <w:rPr>
                <w:rFonts w:cs="Times New Roman"/>
                <w:color w:val="auto"/>
                <w:lang w:val="en-US"/>
              </w:rPr>
            </w:pPr>
            <w:r>
              <w:rPr>
                <w:rFonts w:cs="Times New Roman"/>
                <w:b/>
                <w:bCs/>
                <w:color w:val="7B7B7B"/>
                <w:kern w:val="0"/>
                <w:lang w:val="pt-BR" w:eastAsia="en-US" w:bidi="ar-SA"/>
              </w:rPr>
            </w:r>
          </w:p>
        </w:tc>
        <w:tc>
          <w:tcPr>
            <w:tcW w:w="1213"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Ind.</w:t>
            </w:r>
          </w:p>
        </w:tc>
        <w:tc>
          <w:tcPr>
            <w:tcW w:w="1215"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Capt.</w:t>
            </w:r>
          </w:p>
        </w:tc>
        <w:tc>
          <w:tcPr>
            <w:tcW w:w="1216"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Ind.</w:t>
            </w:r>
          </w:p>
        </w:tc>
        <w:tc>
          <w:tcPr>
            <w:tcW w:w="1215"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Capt.</w:t>
            </w:r>
          </w:p>
        </w:tc>
        <w:tc>
          <w:tcPr>
            <w:tcW w:w="1212"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Ind.</w:t>
            </w:r>
          </w:p>
        </w:tc>
        <w:tc>
          <w:tcPr>
            <w:tcW w:w="1216"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Capt.</w:t>
            </w:r>
          </w:p>
        </w:tc>
      </w:tr>
      <w:tr>
        <w:trPr>
          <w:trHeight w:val="283" w:hRule="atLeast"/>
        </w:trPr>
        <w:tc>
          <w:tcPr>
            <w:tcW w:w="121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Pineapple</w:t>
            </w:r>
          </w:p>
        </w:tc>
        <w:tc>
          <w:tcPr>
            <w:tcW w:w="1213"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13</w:t>
            </w:r>
          </w:p>
        </w:tc>
        <w:tc>
          <w:tcPr>
            <w:tcW w:w="1215"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15</w:t>
            </w:r>
          </w:p>
        </w:tc>
        <w:tc>
          <w:tcPr>
            <w:tcW w:w="1216"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10</w:t>
            </w:r>
          </w:p>
        </w:tc>
        <w:tc>
          <w:tcPr>
            <w:tcW w:w="1215"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13</w:t>
            </w:r>
          </w:p>
        </w:tc>
        <w:tc>
          <w:tcPr>
            <w:tcW w:w="1212"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23</w:t>
            </w:r>
          </w:p>
        </w:tc>
        <w:tc>
          <w:tcPr>
            <w:tcW w:w="1216"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28</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216"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Banana</w:t>
            </w:r>
          </w:p>
        </w:tc>
        <w:tc>
          <w:tcPr>
            <w:tcW w:w="1213"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25</w:t>
            </w:r>
          </w:p>
        </w:tc>
        <w:tc>
          <w:tcPr>
            <w:tcW w:w="1215"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32</w:t>
            </w:r>
          </w:p>
        </w:tc>
        <w:tc>
          <w:tcPr>
            <w:tcW w:w="1216"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20</w:t>
            </w:r>
          </w:p>
        </w:tc>
        <w:tc>
          <w:tcPr>
            <w:tcW w:w="1215"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41</w:t>
            </w:r>
          </w:p>
        </w:tc>
        <w:tc>
          <w:tcPr>
            <w:tcW w:w="1212"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45</w:t>
            </w:r>
          </w:p>
        </w:tc>
        <w:tc>
          <w:tcPr>
            <w:tcW w:w="1216" w:type="dxa"/>
            <w:tcBorders>
              <w:top w:val="nil"/>
              <w:bottom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73</w:t>
            </w:r>
          </w:p>
        </w:tc>
      </w:tr>
      <w:tr>
        <w:trPr>
          <w:trHeight w:val="283" w:hRule="atLeast"/>
        </w:trPr>
        <w:tc>
          <w:tcPr>
            <w:tcW w:w="1216"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Meat</w:t>
            </w:r>
          </w:p>
        </w:tc>
        <w:tc>
          <w:tcPr>
            <w:tcW w:w="1213"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w:t>
            </w:r>
          </w:p>
        </w:tc>
        <w:tc>
          <w:tcPr>
            <w:tcW w:w="1215"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1216"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w:t>
            </w:r>
          </w:p>
        </w:tc>
        <w:tc>
          <w:tcPr>
            <w:tcW w:w="1215"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w:t>
            </w:r>
          </w:p>
        </w:tc>
        <w:tc>
          <w:tcPr>
            <w:tcW w:w="1212"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w:t>
            </w:r>
          </w:p>
        </w:tc>
        <w:tc>
          <w:tcPr>
            <w:tcW w:w="1216" w:type="dxa"/>
            <w:tcBorders>
              <w:top w:val="nil"/>
              <w:bottom w:val="nil"/>
            </w:tcBorders>
            <w:vAlign w:val="center"/>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1216" w:type="dxa"/>
            <w:cnfStyle w:val="001000000000" w:firstRow="0" w:lastRow="0" w:firstColumn="1" w:lastColumn="0" w:oddVBand="0" w:evenVBand="0" w:oddHBand="0" w:evenHBand="0" w:firstRowFirstColumn="0" w:firstRowLastColumn="0" w:lastRowFirstColumn="0" w:lastRowLastColumn="0"/>
            <w:tcBorders>
              <w:top w:val="nil"/>
            </w:tcBorders>
            <w:shd w:color="auto" w:fill="E8E8E8" w:themeFill="accent3" w:themeFillTint="3f" w:val="clear"/>
            <w:vAlign w:val="center"/>
          </w:tcPr>
          <w:p>
            <w:pPr>
              <w:pStyle w:val="Normal"/>
              <w:widowControl w:val="false"/>
              <w:suppressAutoHyphens w:val="true"/>
              <w:spacing w:before="0" w:after="0"/>
              <w:jc w:val="left"/>
              <w:rPr>
                <w:rFonts w:cs="Times New Roman"/>
                <w:color w:val="auto"/>
                <w:lang w:val="en-US"/>
              </w:rPr>
            </w:pPr>
            <w:r>
              <w:rPr>
                <w:rFonts w:cs="Times New Roman"/>
                <w:b/>
                <w:bCs/>
                <w:color w:val="auto"/>
                <w:kern w:val="0"/>
                <w:lang w:val="en-US" w:eastAsia="en-US" w:bidi="ar-SA"/>
              </w:rPr>
              <w:t>Pasta</w:t>
            </w:r>
          </w:p>
        </w:tc>
        <w:tc>
          <w:tcPr>
            <w:tcW w:w="1213" w:type="dxa"/>
            <w:tcBorders>
              <w:top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17</w:t>
            </w:r>
          </w:p>
        </w:tc>
        <w:tc>
          <w:tcPr>
            <w:tcW w:w="1215" w:type="dxa"/>
            <w:tcBorders>
              <w:top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28</w:t>
            </w:r>
          </w:p>
        </w:tc>
        <w:tc>
          <w:tcPr>
            <w:tcW w:w="1216" w:type="dxa"/>
            <w:tcBorders>
              <w:top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14</w:t>
            </w:r>
          </w:p>
        </w:tc>
        <w:tc>
          <w:tcPr>
            <w:tcW w:w="1215" w:type="dxa"/>
            <w:tcBorders>
              <w:top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21</w:t>
            </w:r>
          </w:p>
        </w:tc>
        <w:tc>
          <w:tcPr>
            <w:tcW w:w="1212" w:type="dxa"/>
            <w:tcBorders>
              <w:top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31</w:t>
            </w:r>
          </w:p>
        </w:tc>
        <w:tc>
          <w:tcPr>
            <w:tcW w:w="1216" w:type="dxa"/>
            <w:tcBorders>
              <w:top w:val="nil"/>
            </w:tcBorders>
            <w:shd w:color="auto" w:fill="E8E8E8" w:themeFill="accent3" w:themeFillTint="3f" w:val="clear"/>
            <w:vAlign w:val="cente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49</w:t>
            </w:r>
          </w:p>
        </w:tc>
      </w:tr>
    </w:tbl>
    <w:p>
      <w:pPr>
        <w:pStyle w:val="Normal"/>
        <w:spacing w:lineRule="auto" w:line="360" w:before="240" w:after="0"/>
        <w:ind w:firstLine="708"/>
        <w:rPr>
          <w:rFonts w:cs="Times New Roman"/>
          <w:sz w:val="24"/>
          <w:szCs w:val="24"/>
          <w:lang w:val="en-US"/>
        </w:rPr>
      </w:pPr>
      <w:r>
        <w:rPr>
          <w:rFonts w:cs="Times New Roman"/>
          <w:sz w:val="24"/>
          <w:szCs w:val="24"/>
          <w:lang w:val="en-US"/>
        </w:rPr>
      </w:r>
    </w:p>
    <w:p>
      <w:pPr>
        <w:pStyle w:val="Normal"/>
        <w:spacing w:lineRule="auto" w:line="240" w:before="0" w:after="0"/>
        <w:rPr>
          <w:rFonts w:cs="Times New Roman"/>
          <w:lang w:val="en-US"/>
        </w:rPr>
      </w:pPr>
      <w:bookmarkStart w:id="4" w:name="_Toc321830585"/>
      <w:r>
        <w:rPr>
          <w:rFonts w:cs="Times New Roman"/>
          <w:lang w:val="en-US"/>
        </w:rPr>
        <w:t>Table IV. Small mammals captured during the bait test, at Garrafão locality, Serra dos Órgãos National Park, Rio de Janeiro, Brazil. Ind. - number of individuals captured; Capt. - number of captures; Bait – most successful bait attracting the given species; CS – capture success of the best bait; In parenthesis, CS for all bait test; PI – preference index (ratio between the CS of the best bait by the CS of the species).</w:t>
      </w:r>
      <w:bookmarkEnd w:id="4"/>
    </w:p>
    <w:tbl>
      <w:tblPr>
        <w:tblStyle w:val="SombreamentoClaro-nfase3"/>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2027"/>
        <w:gridCol w:w="1317"/>
        <w:gridCol w:w="600"/>
        <w:gridCol w:w="710"/>
        <w:gridCol w:w="1867"/>
        <w:gridCol w:w="1382"/>
        <w:gridCol w:w="600"/>
      </w:tblGrid>
      <w:tr>
        <w:trPr>
          <w:trHeight w:val="283" w:hRule="atLeast"/>
          <w:cnfStyle w:val="100000000000" w:firstRow="1" w:lastRow="0" w:firstColumn="0" w:lastColumn="0" w:oddVBand="0" w:evenVBand="0" w:oddHBand="0" w:evenHBand="0" w:firstRowFirstColumn="0" w:firstRowLastColumn="0" w:lastRowFirstColumn="0" w:lastRowLastColumn="0"/>
        </w:trPr>
        <w:tc>
          <w:tcPr>
            <w:tcW w:w="2027" w:type="dxa"/>
            <w:cnfStyle w:val="001000000000" w:firstRow="0" w:lastRow="0" w:firstColumn="1" w:lastColumn="0" w:oddVBand="0" w:evenVBand="0" w:oddHBand="0" w:evenHBand="0" w:firstRowFirstColumn="0" w:firstRowLastColumn="0" w:lastRowFirstColumn="0" w:lastRowLastColumn="0"/>
            <w:tcBorders/>
            <w:vAlign w:val="center"/>
          </w:tcPr>
          <w:p>
            <w:pPr>
              <w:pStyle w:val="Normal"/>
              <w:widowControl w:val="false"/>
              <w:suppressAutoHyphens w:val="true"/>
              <w:spacing w:lineRule="auto" w:line="240" w:before="0" w:after="0"/>
              <w:jc w:val="left"/>
              <w:rPr>
                <w:rFonts w:cs="Times New Roman"/>
                <w:color w:val="auto"/>
                <w:lang w:val="en-US"/>
              </w:rPr>
            </w:pPr>
            <w:r>
              <w:rPr>
                <w:rFonts w:cs="Times New Roman"/>
                <w:b/>
                <w:bCs/>
                <w:color w:val="auto"/>
                <w:kern w:val="0"/>
                <w:lang w:val="en-US" w:eastAsia="en-US" w:bidi="ar-SA"/>
              </w:rPr>
              <w:t>Species*</w:t>
            </w:r>
          </w:p>
        </w:tc>
        <w:tc>
          <w:tcPr>
            <w:tcW w:w="1317"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Locomotor habits</w:t>
            </w:r>
          </w:p>
        </w:tc>
        <w:tc>
          <w:tcPr>
            <w:tcW w:w="600"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Ind.</w:t>
            </w:r>
          </w:p>
        </w:tc>
        <w:tc>
          <w:tcPr>
            <w:tcW w:w="710"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Capt.</w:t>
            </w:r>
          </w:p>
        </w:tc>
        <w:tc>
          <w:tcPr>
            <w:tcW w:w="1867"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Bait</w:t>
            </w:r>
          </w:p>
        </w:tc>
        <w:tc>
          <w:tcPr>
            <w:tcW w:w="1382"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CS</w:t>
            </w:r>
          </w:p>
        </w:tc>
        <w:tc>
          <w:tcPr>
            <w:tcW w:w="600" w:type="dxa"/>
            <w:tcBorders/>
            <w:vAlign w:val="center"/>
          </w:tcPr>
          <w:p>
            <w:pPr>
              <w:pStyle w:val="Normal"/>
              <w:widowControl w:val="false"/>
              <w:suppressAutoHyphens w:val="true"/>
              <w:spacing w:lineRule="auto" w:line="240" w:before="0" w:after="0"/>
              <w:jc w:val="center"/>
              <w:cnfStyle w:val="100000000000" w:firstRow="1" w:lastRow="0" w:firstColumn="0" w:lastColumn="0" w:oddVBand="0" w:evenVBand="0" w:oddHBand="0" w:evenHBand="0" w:firstRowFirstColumn="0" w:firstRowLastColumn="0" w:lastRowFirstColumn="0" w:lastRowLastColumn="0"/>
              <w:rPr>
                <w:rFonts w:cs="Times New Roman"/>
                <w:color w:val="auto"/>
                <w:lang w:val="en-US"/>
              </w:rPr>
            </w:pPr>
            <w:r>
              <w:rPr>
                <w:rFonts w:cs="Times New Roman"/>
                <w:b/>
                <w:bCs/>
                <w:color w:val="auto"/>
                <w:kern w:val="0"/>
                <w:lang w:val="en-US" w:eastAsia="en-US" w:bidi="ar-SA"/>
              </w:rPr>
              <w:t>PI</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027"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Caluromys philander</w:t>
            </w:r>
          </w:p>
        </w:tc>
        <w:tc>
          <w:tcPr>
            <w:tcW w:w="131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Arboreal</w:t>
            </w:r>
          </w:p>
        </w:tc>
        <w:tc>
          <w:tcPr>
            <w:tcW w:w="6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w:t>
            </w:r>
          </w:p>
        </w:tc>
        <w:tc>
          <w:tcPr>
            <w:tcW w:w="71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35</w:t>
            </w:r>
          </w:p>
        </w:tc>
        <w:tc>
          <w:tcPr>
            <w:tcW w:w="186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Banana</w:t>
            </w:r>
          </w:p>
        </w:tc>
        <w:tc>
          <w:tcPr>
            <w:tcW w:w="138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3.61% (1.21%)</w:t>
            </w:r>
          </w:p>
        </w:tc>
        <w:tc>
          <w:tcPr>
            <w:tcW w:w="6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2.98</w:t>
            </w:r>
          </w:p>
        </w:tc>
      </w:tr>
      <w:tr>
        <w:trPr>
          <w:trHeight w:val="283" w:hRule="atLeast"/>
        </w:trPr>
        <w:tc>
          <w:tcPr>
            <w:tcW w:w="2027"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Guerlinguetus brasiliensis</w:t>
            </w:r>
          </w:p>
        </w:tc>
        <w:tc>
          <w:tcPr>
            <w:tcW w:w="131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Arboreal</w:t>
            </w:r>
          </w:p>
        </w:tc>
        <w:tc>
          <w:tcPr>
            <w:tcW w:w="6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71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4</w:t>
            </w:r>
          </w:p>
        </w:tc>
        <w:tc>
          <w:tcPr>
            <w:tcW w:w="186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Banana</w:t>
            </w:r>
          </w:p>
        </w:tc>
        <w:tc>
          <w:tcPr>
            <w:tcW w:w="138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0.41% (0.13%)</w:t>
            </w:r>
          </w:p>
        </w:tc>
        <w:tc>
          <w:tcPr>
            <w:tcW w:w="6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3.15</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027"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Marmosa paraguayana</w:t>
            </w:r>
          </w:p>
        </w:tc>
        <w:tc>
          <w:tcPr>
            <w:tcW w:w="131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Arboreal</w:t>
            </w:r>
          </w:p>
        </w:tc>
        <w:tc>
          <w:tcPr>
            <w:tcW w:w="6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8</w:t>
            </w:r>
          </w:p>
        </w:tc>
        <w:tc>
          <w:tcPr>
            <w:tcW w:w="71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38</w:t>
            </w:r>
          </w:p>
        </w:tc>
        <w:tc>
          <w:tcPr>
            <w:tcW w:w="186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Banana</w:t>
            </w:r>
          </w:p>
        </w:tc>
        <w:tc>
          <w:tcPr>
            <w:tcW w:w="138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2.91% (1.31%)</w:t>
            </w:r>
          </w:p>
        </w:tc>
        <w:tc>
          <w:tcPr>
            <w:tcW w:w="6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2.22</w:t>
            </w:r>
          </w:p>
        </w:tc>
      </w:tr>
      <w:tr>
        <w:trPr>
          <w:trHeight w:val="283" w:hRule="atLeast"/>
        </w:trPr>
        <w:tc>
          <w:tcPr>
            <w:tcW w:w="2027"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Rhipidomys itoan</w:t>
            </w:r>
          </w:p>
        </w:tc>
        <w:tc>
          <w:tcPr>
            <w:tcW w:w="131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Arboreal</w:t>
            </w:r>
          </w:p>
        </w:tc>
        <w:tc>
          <w:tcPr>
            <w:tcW w:w="6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6</w:t>
            </w:r>
          </w:p>
        </w:tc>
        <w:tc>
          <w:tcPr>
            <w:tcW w:w="71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22</w:t>
            </w:r>
          </w:p>
        </w:tc>
        <w:tc>
          <w:tcPr>
            <w:tcW w:w="186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 xml:space="preserve">Pineapple </w:t>
            </w:r>
          </w:p>
        </w:tc>
        <w:tc>
          <w:tcPr>
            <w:tcW w:w="138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1.11% (0.76%)</w:t>
            </w:r>
          </w:p>
        </w:tc>
        <w:tc>
          <w:tcPr>
            <w:tcW w:w="6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1.46</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027" w:type="dxa"/>
            <w:cnfStyle w:val="001000000000" w:firstRow="0" w:lastRow="0" w:firstColumn="1" w:lastColumn="0" w:oddVBand="0" w:evenVBand="0" w:oddHBand="0" w:evenHBand="0" w:firstRowFirstColumn="0" w:firstRowLastColumn="0" w:lastRowFirstColumn="0" w:lastRowLastColumn="0"/>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Didelphis aurita</w:t>
            </w:r>
          </w:p>
        </w:tc>
        <w:tc>
          <w:tcPr>
            <w:tcW w:w="131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Scansorial</w:t>
            </w:r>
          </w:p>
        </w:tc>
        <w:tc>
          <w:tcPr>
            <w:tcW w:w="6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w:t>
            </w:r>
          </w:p>
        </w:tc>
        <w:tc>
          <w:tcPr>
            <w:tcW w:w="71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7</w:t>
            </w:r>
          </w:p>
        </w:tc>
        <w:tc>
          <w:tcPr>
            <w:tcW w:w="1867"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Banana</w:t>
            </w:r>
          </w:p>
        </w:tc>
        <w:tc>
          <w:tcPr>
            <w:tcW w:w="1382"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0.41% (0.24%)</w:t>
            </w:r>
          </w:p>
        </w:tc>
        <w:tc>
          <w:tcPr>
            <w:tcW w:w="600" w:type="dxa"/>
            <w:tcBorders>
              <w:top w:val="nil"/>
              <w:bottom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1.70</w:t>
            </w:r>
          </w:p>
        </w:tc>
      </w:tr>
      <w:tr>
        <w:trPr>
          <w:trHeight w:val="283" w:hRule="atLeast"/>
        </w:trPr>
        <w:tc>
          <w:tcPr>
            <w:tcW w:w="2027" w:type="dxa"/>
            <w:cnfStyle w:val="001000000000" w:firstRow="0" w:lastRow="0" w:firstColumn="1" w:lastColumn="0" w:oddVBand="0" w:evenVBand="0" w:oddHBand="0" w:evenHBand="0" w:firstRowFirstColumn="0" w:firstRowLastColumn="0" w:lastRowFirstColumn="0" w:lastRowLastColumn="0"/>
            <w:tcBorders>
              <w:top w:val="nil"/>
              <w:bottom w:val="nil"/>
            </w:tcBorders>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Marmosops incanus</w:t>
            </w:r>
          </w:p>
        </w:tc>
        <w:tc>
          <w:tcPr>
            <w:tcW w:w="131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Scansorial</w:t>
            </w:r>
          </w:p>
        </w:tc>
        <w:tc>
          <w:tcPr>
            <w:tcW w:w="6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17</w:t>
            </w:r>
          </w:p>
        </w:tc>
        <w:tc>
          <w:tcPr>
            <w:tcW w:w="71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36</w:t>
            </w:r>
          </w:p>
        </w:tc>
        <w:tc>
          <w:tcPr>
            <w:tcW w:w="1867"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Banana</w:t>
            </w:r>
          </w:p>
        </w:tc>
        <w:tc>
          <w:tcPr>
            <w:tcW w:w="1382"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1.80% (1.25%)</w:t>
            </w:r>
          </w:p>
        </w:tc>
        <w:tc>
          <w:tcPr>
            <w:tcW w:w="600" w:type="dxa"/>
            <w:tcBorders>
              <w:top w:val="nil"/>
              <w:bottom w:val="nil"/>
            </w:tcBorders>
            <w:vAlign w:val="center"/>
          </w:tcPr>
          <w:p>
            <w:pPr>
              <w:pStyle w:val="Normal"/>
              <w:widowControl w:val="false"/>
              <w:suppressAutoHyphens w:val="true"/>
              <w:spacing w:lineRule="auto" w:line="240" w:before="0" w:after="0"/>
              <w:jc w:val="center"/>
              <w:cnfStyle w:val="000000000000" w:firstRow="0" w:lastRow="0" w:firstColumn="0" w:lastColumn="0" w:oddVBand="0" w:evenVBand="0" w:oddHBand="0" w:evenHBand="0" w:firstRowFirstColumn="0" w:firstRowLastColumn="0" w:lastRowFirstColumn="0" w:lastRowLastColumn="0"/>
              <w:rPr>
                <w:rFonts w:cs="Times New Roman"/>
                <w:color w:val="auto"/>
                <w:lang w:val="en-US"/>
              </w:rPr>
            </w:pPr>
            <w:r>
              <w:rPr>
                <w:rFonts w:cs="Times New Roman"/>
                <w:color w:val="auto"/>
                <w:kern w:val="0"/>
                <w:lang w:val="en-US" w:eastAsia="en-US" w:bidi="ar-SA"/>
              </w:rPr>
              <w:t>1.44</w:t>
            </w:r>
          </w:p>
        </w:tc>
      </w:tr>
      <w:tr>
        <w:trPr>
          <w:trHeight w:val="283" w:hRule="atLeast"/>
          <w:cnfStyle w:val="000000100000" w:firstRow="0" w:lastRow="0" w:firstColumn="0" w:lastColumn="0" w:oddVBand="0" w:evenVBand="0" w:oddHBand="1" w:evenHBand="0" w:firstRowFirstColumn="0" w:firstRowLastColumn="0" w:lastRowFirstColumn="0" w:lastRowLastColumn="0"/>
        </w:trPr>
        <w:tc>
          <w:tcPr>
            <w:tcW w:w="2027" w:type="dxa"/>
            <w:cnfStyle w:val="001000000000" w:firstRow="0" w:lastRow="0" w:firstColumn="1" w:lastColumn="0" w:oddVBand="0" w:evenVBand="0" w:oddHBand="0" w:evenHBand="0" w:firstRowFirstColumn="0" w:firstRowLastColumn="0" w:lastRowFirstColumn="0" w:lastRowLastColumn="0"/>
            <w:tcBorders>
              <w:top w:val="nil"/>
            </w:tcBorders>
            <w:shd w:color="auto" w:fill="E8E8E8" w:themeFill="accent3" w:themeFillTint="3f" w:val="clear"/>
            <w:vAlign w:val="center"/>
          </w:tcPr>
          <w:p>
            <w:pPr>
              <w:pStyle w:val="Normal"/>
              <w:widowControl w:val="false"/>
              <w:suppressAutoHyphens w:val="true"/>
              <w:spacing w:lineRule="auto" w:line="240" w:before="0" w:after="0"/>
              <w:jc w:val="left"/>
              <w:rPr>
                <w:rFonts w:cs="Times New Roman"/>
                <w:i/>
                <w:i/>
                <w:color w:val="auto"/>
                <w:lang w:val="en-US"/>
              </w:rPr>
            </w:pPr>
            <w:r>
              <w:rPr>
                <w:rFonts w:cs="Times New Roman"/>
                <w:b/>
                <w:bCs/>
                <w:i/>
                <w:color w:val="auto"/>
                <w:kern w:val="0"/>
                <w:lang w:val="en-US" w:eastAsia="en-US" w:bidi="ar-SA"/>
              </w:rPr>
              <w:t>Philander quica</w:t>
            </w:r>
          </w:p>
        </w:tc>
        <w:tc>
          <w:tcPr>
            <w:tcW w:w="1317"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Scansorial</w:t>
            </w:r>
          </w:p>
        </w:tc>
        <w:tc>
          <w:tcPr>
            <w:tcW w:w="600"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5</w:t>
            </w:r>
          </w:p>
        </w:tc>
        <w:tc>
          <w:tcPr>
            <w:tcW w:w="710"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9</w:t>
            </w:r>
          </w:p>
        </w:tc>
        <w:tc>
          <w:tcPr>
            <w:tcW w:w="1867"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Pineapple, meat, pasta</w:t>
            </w:r>
          </w:p>
        </w:tc>
        <w:tc>
          <w:tcPr>
            <w:tcW w:w="1382"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0.28% (0.31%)</w:t>
            </w:r>
          </w:p>
        </w:tc>
        <w:tc>
          <w:tcPr>
            <w:tcW w:w="600" w:type="dxa"/>
            <w:tcBorders>
              <w:top w:val="nil"/>
            </w:tcBorders>
            <w:shd w:color="auto" w:fill="E8E8E8" w:themeFill="accent3" w:themeFillTint="3f" w:val="clear"/>
            <w:vAlign w:val="center"/>
          </w:tcPr>
          <w:p>
            <w:pPr>
              <w:pStyle w:val="Normal"/>
              <w:widowControl w:val="false"/>
              <w:suppressAutoHyphens w:val="true"/>
              <w:spacing w:lineRule="auto" w:line="240" w:before="0" w:after="0"/>
              <w:jc w:val="center"/>
              <w:cnfStyle w:val="000000100000" w:firstRow="0" w:lastRow="0" w:firstColumn="0" w:lastColumn="0" w:oddVBand="0" w:evenVBand="0" w:oddHBand="1" w:evenHBand="0" w:firstRowFirstColumn="0" w:firstRowLastColumn="0" w:lastRowFirstColumn="0" w:lastRowLastColumn="0"/>
              <w:rPr>
                <w:rFonts w:cs="Times New Roman"/>
                <w:color w:val="auto"/>
                <w:lang w:val="en-US"/>
              </w:rPr>
            </w:pPr>
            <w:r>
              <w:rPr>
                <w:rFonts w:cs="Times New Roman"/>
                <w:color w:val="auto"/>
                <w:kern w:val="0"/>
                <w:lang w:val="en-US" w:eastAsia="en-US" w:bidi="ar-SA"/>
              </w:rPr>
              <w:t>**</w:t>
            </w:r>
          </w:p>
        </w:tc>
      </w:tr>
    </w:tbl>
    <w:p>
      <w:pPr>
        <w:pStyle w:val="Normal"/>
        <w:spacing w:lineRule="auto" w:line="240" w:before="0" w:after="0"/>
        <w:rPr>
          <w:rFonts w:cs="Times New Roman"/>
          <w:szCs w:val="24"/>
          <w:lang w:val="en-US"/>
        </w:rPr>
      </w:pPr>
      <w:r>
        <w:rPr>
          <w:rFonts w:cs="Times New Roman"/>
          <w:szCs w:val="24"/>
          <w:lang w:val="en-US"/>
        </w:rPr>
        <w:t xml:space="preserve">* We did not consider terrestrial species. ** </w:t>
      </w:r>
      <w:r>
        <w:rPr>
          <w:rFonts w:cs="Times New Roman"/>
          <w:i/>
          <w:szCs w:val="24"/>
          <w:lang w:val="en-US"/>
        </w:rPr>
        <w:t>Philander quica</w:t>
      </w:r>
      <w:r>
        <w:rPr>
          <w:rFonts w:cs="Times New Roman"/>
          <w:szCs w:val="24"/>
          <w:lang w:val="en-US"/>
        </w:rPr>
        <w:t xml:space="preserve"> did not have preference index, since 3 of the 4 baits tested were equally successful in capturing it.</w:t>
      </w:r>
    </w:p>
    <w:p>
      <w:pPr>
        <w:pStyle w:val="Normal"/>
        <w:spacing w:lineRule="auto" w:line="240" w:before="0" w:after="0"/>
        <w:rPr>
          <w:rFonts w:cs="Times New Roman"/>
          <w:lang w:val="en-US"/>
        </w:rPr>
      </w:pPr>
      <w:r>
        <w:rPr>
          <w:rFonts w:cs="Times New Roman"/>
          <w:lang w:val="en-US"/>
        </w:rPr>
      </w:r>
    </w:p>
    <w:p>
      <w:pPr>
        <w:pStyle w:val="Normal"/>
        <w:spacing w:lineRule="auto" w:line="240" w:before="0" w:after="0"/>
        <w:rPr>
          <w:rFonts w:cs="Times New Roman"/>
          <w:lang w:val="en-US"/>
        </w:rPr>
      </w:pPr>
      <w:r>
        <w:rPr/>
      </w:r>
    </w:p>
    <w:sectPr>
      <w:headerReference w:type="default" r:id="rId5"/>
      <w:footerReference w:type="default" r:id="rId6"/>
      <w:type w:val="nextPage"/>
      <w:pgSz w:w="11906" w:h="16838"/>
      <w:pgMar w:left="1701" w:right="1701" w:gutter="0" w:header="708" w:top="1417" w:footer="708" w:bottom="1417"/>
      <w:pgNumType w:fmt="decimal"/>
      <w:formProt w:val="false"/>
      <w:textDirection w:val="lrTb"/>
      <w:docGrid w:type="default" w:linePitch="36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Autor" w:date="0-00-00T00:00:00Z" w:initials="A">
    <w:p>
      <w:r>
        <w:rPr>
          <w:rFonts w:ascii="Liberation Serif" w:hAnsi="Liberation Serif" w:eastAsia="DejaVu Sans" w:cs="DejaVu Sans"/>
          <w:sz w:val="24"/>
          <w:szCs w:val="24"/>
          <w:lang w:eastAsia="en-US" w:bidi="en-US" w:val="en-US"/>
        </w:rPr>
        <w:t>Overall, there are a lot of figures and tables to be inserted throughout the paper. Maybe the authors could choose some of them to be included as Supplementary Materials.</w:t>
      </w:r>
    </w:p>
  </w:comment>
  <w:comment w:id="1" w:author="Autor" w:date="0-00-00T00:00:00Z" w:initials="A">
    <w:p w14:paraId="01000000">
      <w:r>
        <w:rPr>
          <w:rFonts w:ascii="Liberation Serif" w:hAnsi="Liberation Serif" w:eastAsia="DejaVu Sans" w:cs="DejaVu Sans"/>
          <w:sz w:val="24"/>
          <w:szCs w:val="24"/>
          <w:lang w:eastAsia="en-US" w:bidi="en-US" w:val="en-US"/>
        </w:rPr>
        <w:t>The tables are in different colors.</w:t>
      </w:r>
    </w:p>
  </w:comment>
</w:comments>
</file>

<file path=word/commentsExtended.xml><?xml version="1.0" encoding="utf-8"?>
<w15:commentsEx xmlns:mc="http://schemas.openxmlformats.org/markup-compatibility/2006" xmlns:w15="http://schemas.microsoft.com/office/word/2012/wordml" mc:Ignorable="w15">
  <w15:commentEx w15:paraId="01000000" w15:done="1"/>
</w15:commentsEx>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Calibri Light">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16050563"/>
    </w:sdtPr>
    <w:sdtContent>
      <w:p>
        <w:pPr>
          <w:pStyle w:val="Rodap"/>
          <w:jc w:val="right"/>
          <w:rPr/>
        </w:pPr>
        <w:r>
          <w:rPr/>
          <w:fldChar w:fldCharType="begin"/>
        </w:r>
        <w:r>
          <w:rPr/>
          <w:instrText xml:space="preserve"> PAGE </w:instrText>
        </w:r>
        <w:r>
          <w:rPr/>
          <w:fldChar w:fldCharType="separate"/>
        </w:r>
        <w:r>
          <w:rPr/>
          <w:t>1</w:t>
        </w:r>
        <w:r>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1528b"/>
    <w:pPr>
      <w:widowControl/>
      <w:suppressAutoHyphens w:val="true"/>
      <w:bidi w:val="0"/>
      <w:spacing w:lineRule="auto" w:line="276" w:before="0" w:after="200"/>
      <w:jc w:val="both"/>
    </w:pPr>
    <w:rPr>
      <w:rFonts w:ascii="Times New Roman" w:hAnsi="Times New Roman" w:eastAsia="" w:eastAsiaTheme="minorEastAsia" w:cs=""/>
      <w:color w:val="auto"/>
      <w:kern w:val="0"/>
      <w:sz w:val="20"/>
      <w:szCs w:val="20"/>
      <w:lang w:val="pt-BR" w:eastAsia="en-US" w:bidi="ar-SA"/>
    </w:rPr>
  </w:style>
  <w:style w:type="paragraph" w:styleId="Ttulo1">
    <w:name w:val="Heading 1"/>
    <w:basedOn w:val="Normal"/>
    <w:next w:val="Normal"/>
    <w:link w:val="Ttulo1Char"/>
    <w:autoRedefine/>
    <w:uiPriority w:val="9"/>
    <w:qFormat/>
    <w:rsid w:val="006b4789"/>
    <w:pPr>
      <w:outlineLvl w:val="0"/>
    </w:pPr>
    <w:rPr>
      <w:rFonts w:cs="Times New Roman"/>
      <w:sz w:val="24"/>
    </w:rPr>
  </w:style>
  <w:style w:type="paragraph" w:styleId="Ttulo2">
    <w:name w:val="Heading 2"/>
    <w:basedOn w:val="Ttulo1"/>
    <w:next w:val="Normal"/>
    <w:link w:val="Ttulo2Char"/>
    <w:autoRedefine/>
    <w:uiPriority w:val="99"/>
    <w:unhideWhenUsed/>
    <w:qFormat/>
    <w:rsid w:val="00256c39"/>
    <w:pPr>
      <w:outlineLvl w:val="1"/>
    </w:pPr>
    <w:rPr>
      <w:i/>
    </w:rPr>
  </w:style>
  <w:style w:type="paragraph" w:styleId="Ttulo3">
    <w:name w:val="Heading 3"/>
    <w:basedOn w:val="Normal"/>
    <w:next w:val="Normal"/>
    <w:link w:val="Ttulo3Char"/>
    <w:autoRedefine/>
    <w:uiPriority w:val="99"/>
    <w:unhideWhenUsed/>
    <w:qFormat/>
    <w:rsid w:val="00186fa9"/>
    <w:pPr>
      <w:numPr>
        <w:ilvl w:val="2"/>
        <w:numId w:val="1"/>
      </w:numPr>
      <w:pBdr>
        <w:bottom w:val="dotted" w:sz="18" w:space="1" w:color="525252"/>
      </w:pBdr>
      <w:spacing w:before="120" w:after="120"/>
      <w:jc w:val="left"/>
      <w:outlineLvl w:val="2"/>
    </w:pPr>
    <w:rPr>
      <w:rFonts w:ascii="Arial" w:hAnsi="Arial" w:eastAsia="Times New Roman" w:cs="Arial"/>
      <w:i/>
      <w:spacing w:val="5"/>
      <w:sz w:val="24"/>
      <w:szCs w:val="24"/>
    </w:rPr>
  </w:style>
  <w:style w:type="paragraph" w:styleId="Ttulo4">
    <w:name w:val="Heading 4"/>
    <w:basedOn w:val="Normal"/>
    <w:next w:val="Normal"/>
    <w:link w:val="Ttulo4Char"/>
    <w:autoRedefine/>
    <w:uiPriority w:val="99"/>
    <w:unhideWhenUsed/>
    <w:qFormat/>
    <w:rsid w:val="00186fa9"/>
    <w:pPr>
      <w:numPr>
        <w:ilvl w:val="3"/>
        <w:numId w:val="1"/>
      </w:numPr>
      <w:spacing w:before="0" w:after="240"/>
      <w:jc w:val="center"/>
      <w:outlineLvl w:val="3"/>
    </w:pPr>
    <w:rPr>
      <w:i/>
      <w:color w:val="FFFFFF" w:themeColor="background1"/>
      <w:spacing w:val="10"/>
      <w:szCs w:val="22"/>
    </w:rPr>
  </w:style>
  <w:style w:type="paragraph" w:styleId="Ttulo5">
    <w:name w:val="Heading 5"/>
    <w:basedOn w:val="Ttulo3"/>
    <w:next w:val="Normal"/>
    <w:link w:val="Ttulo5Char"/>
    <w:uiPriority w:val="99"/>
    <w:unhideWhenUsed/>
    <w:qFormat/>
    <w:rsid w:val="00186fa9"/>
    <w:pPr>
      <w:numPr>
        <w:ilvl w:val="0"/>
        <w:numId w:val="0"/>
      </w:numPr>
      <w:pBdr>
        <w:bottom w:val="nil"/>
      </w:pBdr>
      <w:jc w:val="both"/>
      <w:outlineLvl w:val="4"/>
    </w:pPr>
    <w:rPr>
      <w:i w:val="false"/>
      <w:sz w:val="18"/>
    </w:rPr>
  </w:style>
  <w:style w:type="paragraph" w:styleId="Ttulo6">
    <w:name w:val="Heading 6"/>
    <w:basedOn w:val="Normal"/>
    <w:next w:val="Normal"/>
    <w:link w:val="Ttulo6Char"/>
    <w:uiPriority w:val="99"/>
    <w:unhideWhenUsed/>
    <w:qFormat/>
    <w:rsid w:val="00186fa9"/>
    <w:pPr>
      <w:numPr>
        <w:ilvl w:val="5"/>
        <w:numId w:val="1"/>
      </w:numPr>
      <w:spacing w:before="0" w:after="0"/>
      <w:jc w:val="left"/>
      <w:outlineLvl w:val="5"/>
    </w:pPr>
    <w:rPr>
      <w:smallCaps/>
      <w:color w:val="ED7D31" w:themeColor="accent2"/>
      <w:spacing w:val="5"/>
      <w:sz w:val="22"/>
    </w:rPr>
  </w:style>
  <w:style w:type="paragraph" w:styleId="Ttulo7">
    <w:name w:val="Heading 7"/>
    <w:basedOn w:val="Normal"/>
    <w:next w:val="Normal"/>
    <w:link w:val="Ttulo7Char"/>
    <w:uiPriority w:val="99"/>
    <w:unhideWhenUsed/>
    <w:qFormat/>
    <w:rsid w:val="00186fa9"/>
    <w:pPr>
      <w:numPr>
        <w:ilvl w:val="6"/>
        <w:numId w:val="1"/>
      </w:numPr>
      <w:spacing w:before="0" w:after="0"/>
      <w:jc w:val="left"/>
      <w:outlineLvl w:val="6"/>
    </w:pPr>
    <w:rPr>
      <w:b/>
      <w:smallCaps/>
      <w:color w:val="ED7D31" w:themeColor="accent2"/>
      <w:spacing w:val="10"/>
    </w:rPr>
  </w:style>
  <w:style w:type="paragraph" w:styleId="Ttulo8">
    <w:name w:val="Heading 8"/>
    <w:basedOn w:val="Normal"/>
    <w:next w:val="Normal"/>
    <w:link w:val="Ttulo8Char"/>
    <w:uiPriority w:val="99"/>
    <w:unhideWhenUsed/>
    <w:qFormat/>
    <w:rsid w:val="00186fa9"/>
    <w:pPr>
      <w:numPr>
        <w:ilvl w:val="7"/>
        <w:numId w:val="1"/>
      </w:numPr>
      <w:spacing w:before="0" w:after="0"/>
      <w:jc w:val="left"/>
      <w:outlineLvl w:val="7"/>
    </w:pPr>
    <w:rPr>
      <w:b/>
      <w:i/>
      <w:smallCaps/>
      <w:color w:val="C45911" w:themeColor="accent2" w:themeShade="bf"/>
    </w:rPr>
  </w:style>
  <w:style w:type="paragraph" w:styleId="Ttulo9">
    <w:name w:val="Heading 9"/>
    <w:basedOn w:val="Normal"/>
    <w:next w:val="Normal"/>
    <w:link w:val="Ttulo9Char"/>
    <w:uiPriority w:val="99"/>
    <w:unhideWhenUsed/>
    <w:qFormat/>
    <w:rsid w:val="00186fa9"/>
    <w:pPr>
      <w:numPr>
        <w:ilvl w:val="8"/>
        <w:numId w:val="1"/>
      </w:numPr>
      <w:spacing w:before="0" w:after="0"/>
      <w:jc w:val="left"/>
      <w:outlineLvl w:val="8"/>
    </w:pPr>
    <w:rPr>
      <w:b/>
      <w:i/>
      <w:smallCaps/>
      <w:color w:val="823B0B" w:themeColor="accent2" w:themeShade="7f"/>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uiPriority w:val="9"/>
    <w:qFormat/>
    <w:rsid w:val="006b4789"/>
    <w:rPr>
      <w:rFonts w:ascii="Times New Roman" w:hAnsi="Times New Roman" w:eastAsia="" w:cs="Times New Roman" w:eastAsiaTheme="minorEastAsia"/>
      <w:sz w:val="24"/>
      <w:szCs w:val="20"/>
    </w:rPr>
  </w:style>
  <w:style w:type="character" w:styleId="Ttulo2Char" w:customStyle="1">
    <w:name w:val="Título 2 Char"/>
    <w:basedOn w:val="DefaultParagraphFont"/>
    <w:uiPriority w:val="99"/>
    <w:qFormat/>
    <w:rsid w:val="00256c39"/>
    <w:rPr>
      <w:rFonts w:ascii="Times New Roman" w:hAnsi="Times New Roman" w:eastAsia="" w:cs="Times New Roman" w:eastAsiaTheme="minorEastAsia"/>
      <w:i/>
      <w:sz w:val="24"/>
      <w:szCs w:val="20"/>
    </w:rPr>
  </w:style>
  <w:style w:type="character" w:styleId="Ttulo3Char" w:customStyle="1">
    <w:name w:val="Título 3 Char"/>
    <w:basedOn w:val="DefaultParagraphFont"/>
    <w:uiPriority w:val="99"/>
    <w:qFormat/>
    <w:rsid w:val="00186fa9"/>
    <w:rPr>
      <w:rFonts w:ascii="Arial" w:hAnsi="Arial" w:eastAsia="Times New Roman" w:cs="Arial"/>
      <w:i/>
      <w:spacing w:val="5"/>
      <w:sz w:val="24"/>
      <w:szCs w:val="24"/>
    </w:rPr>
  </w:style>
  <w:style w:type="character" w:styleId="Ttulo4Char" w:customStyle="1">
    <w:name w:val="Título 4 Char"/>
    <w:basedOn w:val="DefaultParagraphFont"/>
    <w:uiPriority w:val="99"/>
    <w:qFormat/>
    <w:rsid w:val="00186fa9"/>
    <w:rPr>
      <w:rFonts w:eastAsia="" w:eastAsiaTheme="minorEastAsia"/>
      <w:i/>
      <w:color w:val="FFFFFF" w:themeColor="background1"/>
      <w:spacing w:val="10"/>
      <w:sz w:val="20"/>
    </w:rPr>
  </w:style>
  <w:style w:type="character" w:styleId="Ttulo5Char" w:customStyle="1">
    <w:name w:val="Título 5 Char"/>
    <w:basedOn w:val="DefaultParagraphFont"/>
    <w:uiPriority w:val="99"/>
    <w:qFormat/>
    <w:rsid w:val="00186fa9"/>
    <w:rPr>
      <w:rFonts w:ascii="Arial" w:hAnsi="Arial" w:eastAsia="Times New Roman" w:cs="Arial"/>
      <w:spacing w:val="5"/>
      <w:sz w:val="18"/>
      <w:szCs w:val="24"/>
    </w:rPr>
  </w:style>
  <w:style w:type="character" w:styleId="Ttulo6Char" w:customStyle="1">
    <w:name w:val="Título 6 Char"/>
    <w:basedOn w:val="DefaultParagraphFont"/>
    <w:uiPriority w:val="99"/>
    <w:qFormat/>
    <w:rsid w:val="00186fa9"/>
    <w:rPr>
      <w:rFonts w:eastAsia="" w:eastAsiaTheme="minorEastAsia"/>
      <w:smallCaps/>
      <w:color w:val="ED7D31" w:themeColor="accent2"/>
      <w:spacing w:val="5"/>
      <w:szCs w:val="20"/>
    </w:rPr>
  </w:style>
  <w:style w:type="character" w:styleId="Ttulo7Char" w:customStyle="1">
    <w:name w:val="Título 7 Char"/>
    <w:basedOn w:val="DefaultParagraphFont"/>
    <w:uiPriority w:val="99"/>
    <w:qFormat/>
    <w:rsid w:val="00186fa9"/>
    <w:rPr>
      <w:rFonts w:eastAsia="" w:eastAsiaTheme="minorEastAsia"/>
      <w:b/>
      <w:smallCaps/>
      <w:color w:val="ED7D31" w:themeColor="accent2"/>
      <w:spacing w:val="10"/>
      <w:sz w:val="20"/>
      <w:szCs w:val="20"/>
    </w:rPr>
  </w:style>
  <w:style w:type="character" w:styleId="Ttulo8Char" w:customStyle="1">
    <w:name w:val="Título 8 Char"/>
    <w:basedOn w:val="DefaultParagraphFont"/>
    <w:uiPriority w:val="99"/>
    <w:qFormat/>
    <w:rsid w:val="00186fa9"/>
    <w:rPr>
      <w:rFonts w:eastAsia="" w:eastAsiaTheme="minorEastAsia"/>
      <w:b/>
      <w:i/>
      <w:smallCaps/>
      <w:color w:val="C45911" w:themeColor="accent2" w:themeShade="bf"/>
      <w:sz w:val="20"/>
      <w:szCs w:val="20"/>
    </w:rPr>
  </w:style>
  <w:style w:type="character" w:styleId="Ttulo9Char" w:customStyle="1">
    <w:name w:val="Título 9 Char"/>
    <w:basedOn w:val="DefaultParagraphFont"/>
    <w:uiPriority w:val="99"/>
    <w:qFormat/>
    <w:rsid w:val="00186fa9"/>
    <w:rPr>
      <w:rFonts w:eastAsia="" w:eastAsiaTheme="minorEastAsia"/>
      <w:b/>
      <w:i/>
      <w:smallCaps/>
      <w:color w:val="823B0B" w:themeColor="accent2" w:themeShade="7f"/>
      <w:sz w:val="20"/>
      <w:szCs w:val="20"/>
    </w:rPr>
  </w:style>
  <w:style w:type="character" w:styleId="LinkdaInternet" w:customStyle="1">
    <w:name w:val="Link da Internet"/>
    <w:basedOn w:val="DefaultParagraphFont"/>
    <w:uiPriority w:val="99"/>
    <w:unhideWhenUsed/>
    <w:rsid w:val="00186fa9"/>
    <w:rPr>
      <w:color w:val="0000FF"/>
      <w:u w:val="single"/>
    </w:rPr>
  </w:style>
  <w:style w:type="character" w:styleId="Annotationreference">
    <w:name w:val="annotation reference"/>
    <w:basedOn w:val="DefaultParagraphFont"/>
    <w:uiPriority w:val="99"/>
    <w:semiHidden/>
    <w:unhideWhenUsed/>
    <w:qFormat/>
    <w:rsid w:val="00186fa9"/>
    <w:rPr>
      <w:sz w:val="16"/>
      <w:szCs w:val="16"/>
    </w:rPr>
  </w:style>
  <w:style w:type="character" w:styleId="TextodecomentrioChar" w:customStyle="1">
    <w:name w:val="Texto de comentário Char"/>
    <w:basedOn w:val="DefaultParagraphFont"/>
    <w:link w:val="Annotationtext"/>
    <w:uiPriority w:val="99"/>
    <w:qFormat/>
    <w:rsid w:val="00186fa9"/>
    <w:rPr>
      <w:rFonts w:eastAsia="" w:eastAsiaTheme="minorEastAsia"/>
      <w:sz w:val="20"/>
      <w:szCs w:val="20"/>
    </w:rPr>
  </w:style>
  <w:style w:type="character" w:styleId="AssuntodocomentrioChar" w:customStyle="1">
    <w:name w:val="Assunto do comentário Char"/>
    <w:basedOn w:val="TextodecomentrioChar"/>
    <w:link w:val="Annotationsubject"/>
    <w:uiPriority w:val="99"/>
    <w:semiHidden/>
    <w:qFormat/>
    <w:rsid w:val="00186fa9"/>
    <w:rPr>
      <w:rFonts w:eastAsia="" w:eastAsiaTheme="minorEastAsia"/>
      <w:b/>
      <w:bCs/>
      <w:sz w:val="20"/>
      <w:szCs w:val="20"/>
    </w:rPr>
  </w:style>
  <w:style w:type="character" w:styleId="TextodebaloChar" w:customStyle="1">
    <w:name w:val="Texto de balão Char"/>
    <w:basedOn w:val="DefaultParagraphFont"/>
    <w:link w:val="BalloonText"/>
    <w:uiPriority w:val="99"/>
    <w:semiHidden/>
    <w:qFormat/>
    <w:rsid w:val="00186fa9"/>
    <w:rPr>
      <w:rFonts w:ascii="Tahoma" w:hAnsi="Tahoma" w:eastAsia="" w:cs="Tahoma" w:eastAsiaTheme="minorEastAsia"/>
      <w:sz w:val="16"/>
      <w:szCs w:val="16"/>
    </w:rPr>
  </w:style>
  <w:style w:type="character" w:styleId="Citation" w:customStyle="1">
    <w:name w:val="citation"/>
    <w:basedOn w:val="DefaultParagraphFont"/>
    <w:qFormat/>
    <w:rsid w:val="00186fa9"/>
    <w:rPr/>
  </w:style>
  <w:style w:type="character" w:styleId="TextodenotadefimChar" w:customStyle="1">
    <w:name w:val="Texto de nota de fim Char"/>
    <w:basedOn w:val="DefaultParagraphFont"/>
    <w:uiPriority w:val="99"/>
    <w:semiHidden/>
    <w:qFormat/>
    <w:rsid w:val="00186fa9"/>
    <w:rPr>
      <w:rFonts w:eastAsia="" w:eastAsiaTheme="minorEastAsia"/>
      <w:sz w:val="20"/>
      <w:szCs w:val="20"/>
    </w:rPr>
  </w:style>
  <w:style w:type="character" w:styleId="Ncoradanotadefim" w:customStyle="1">
    <w:name w:val="Âncora da nota de fim"/>
    <w:rPr>
      <w:vertAlign w:val="superscript"/>
    </w:rPr>
  </w:style>
  <w:style w:type="character" w:styleId="EndnoteCharacters" w:customStyle="1">
    <w:name w:val="Endnote Characters"/>
    <w:basedOn w:val="DefaultParagraphFont"/>
    <w:uiPriority w:val="99"/>
    <w:semiHidden/>
    <w:unhideWhenUsed/>
    <w:qFormat/>
    <w:rsid w:val="00186fa9"/>
    <w:rPr>
      <w:vertAlign w:val="superscript"/>
    </w:rPr>
  </w:style>
  <w:style w:type="character" w:styleId="TextodenotaderodapChar" w:customStyle="1">
    <w:name w:val="Texto de nota de rodapé Char"/>
    <w:basedOn w:val="DefaultParagraphFont"/>
    <w:uiPriority w:val="99"/>
    <w:qFormat/>
    <w:rsid w:val="00186fa9"/>
    <w:rPr>
      <w:rFonts w:eastAsia="" w:eastAsiaTheme="minorEastAsia"/>
      <w:sz w:val="20"/>
      <w:szCs w:val="20"/>
    </w:rPr>
  </w:style>
  <w:style w:type="character" w:styleId="Ncoradanotaderodap" w:customStyle="1">
    <w:name w:val="Âncora da nota de rodapé"/>
    <w:rPr>
      <w:vertAlign w:val="superscript"/>
    </w:rPr>
  </w:style>
  <w:style w:type="character" w:styleId="FootnoteCharacters" w:customStyle="1">
    <w:name w:val="Footnote Characters"/>
    <w:basedOn w:val="DefaultParagraphFont"/>
    <w:uiPriority w:val="99"/>
    <w:unhideWhenUsed/>
    <w:qFormat/>
    <w:rsid w:val="00186fa9"/>
    <w:rPr>
      <w:vertAlign w:val="superscript"/>
    </w:rPr>
  </w:style>
  <w:style w:type="character" w:styleId="CabealhoChar" w:customStyle="1">
    <w:name w:val="Cabeçalho Char"/>
    <w:basedOn w:val="DefaultParagraphFont"/>
    <w:uiPriority w:val="99"/>
    <w:qFormat/>
    <w:rsid w:val="00186fa9"/>
    <w:rPr>
      <w:rFonts w:eastAsia="" w:eastAsiaTheme="minorEastAsia"/>
      <w:sz w:val="20"/>
      <w:szCs w:val="20"/>
    </w:rPr>
  </w:style>
  <w:style w:type="character" w:styleId="RodapChar" w:customStyle="1">
    <w:name w:val="Rodapé Char"/>
    <w:basedOn w:val="DefaultParagraphFont"/>
    <w:uiPriority w:val="99"/>
    <w:qFormat/>
    <w:rsid w:val="00186fa9"/>
    <w:rPr>
      <w:rFonts w:eastAsia="" w:eastAsiaTheme="minorEastAsia"/>
      <w:sz w:val="20"/>
      <w:szCs w:val="20"/>
    </w:rPr>
  </w:style>
  <w:style w:type="character" w:styleId="TtuloChar" w:customStyle="1">
    <w:name w:val="Título Char"/>
    <w:basedOn w:val="DefaultParagraphFont"/>
    <w:uiPriority w:val="10"/>
    <w:qFormat/>
    <w:rsid w:val="00c14c0e"/>
    <w:rPr>
      <w:rFonts w:ascii="Times New Roman" w:hAnsi="Times New Roman" w:eastAsia="Times New Roman" w:cs="Times New Roman"/>
      <w:smallCaps/>
      <w:sz w:val="28"/>
      <w:szCs w:val="24"/>
    </w:rPr>
  </w:style>
  <w:style w:type="character" w:styleId="SubttuloChar" w:customStyle="1">
    <w:name w:val="Subtítulo Char"/>
    <w:basedOn w:val="DefaultParagraphFont"/>
    <w:uiPriority w:val="11"/>
    <w:qFormat/>
    <w:rsid w:val="00186fa9"/>
    <w:rPr>
      <w:rFonts w:ascii="Calibri Light" w:hAnsi="Calibri Light" w:eastAsia="" w:cs="" w:asciiTheme="majorHAnsi" w:cstheme="majorBidi" w:eastAsiaTheme="majorEastAsia" w:hAnsiTheme="majorHAnsi"/>
      <w:sz w:val="20"/>
    </w:rPr>
  </w:style>
  <w:style w:type="character" w:styleId="Strong">
    <w:name w:val="Strong"/>
    <w:uiPriority w:val="22"/>
    <w:qFormat/>
    <w:rsid w:val="00186fa9"/>
    <w:rPr>
      <w:b/>
      <w:color w:val="ED7D31" w:themeColor="accent2"/>
    </w:rPr>
  </w:style>
  <w:style w:type="character" w:styleId="Nfase">
    <w:name w:val="Ênfase"/>
    <w:uiPriority w:val="20"/>
    <w:qFormat/>
    <w:rsid w:val="00186fa9"/>
    <w:rPr>
      <w:b/>
      <w:i/>
      <w:spacing w:val="10"/>
    </w:rPr>
  </w:style>
  <w:style w:type="character" w:styleId="SemEspaamentoChar" w:customStyle="1">
    <w:name w:val="Sem Espaçamento Char"/>
    <w:basedOn w:val="DefaultParagraphFont"/>
    <w:link w:val="NoSpacing"/>
    <w:uiPriority w:val="1"/>
    <w:qFormat/>
    <w:rsid w:val="00186fa9"/>
    <w:rPr>
      <w:rFonts w:eastAsia="" w:eastAsiaTheme="minorEastAsia"/>
      <w:sz w:val="20"/>
      <w:szCs w:val="20"/>
    </w:rPr>
  </w:style>
  <w:style w:type="character" w:styleId="CitaoChar" w:customStyle="1">
    <w:name w:val="Citação Char"/>
    <w:basedOn w:val="DefaultParagraphFont"/>
    <w:link w:val="Quote"/>
    <w:uiPriority w:val="29"/>
    <w:qFormat/>
    <w:rsid w:val="00186fa9"/>
    <w:rPr>
      <w:rFonts w:eastAsia="" w:eastAsiaTheme="minorEastAsia"/>
      <w:i/>
      <w:sz w:val="20"/>
      <w:szCs w:val="20"/>
    </w:rPr>
  </w:style>
  <w:style w:type="character" w:styleId="CitaoIntensaChar" w:customStyle="1">
    <w:name w:val="Citação Intensa Char"/>
    <w:basedOn w:val="DefaultParagraphFont"/>
    <w:link w:val="IntenseQuote"/>
    <w:uiPriority w:val="30"/>
    <w:qFormat/>
    <w:rsid w:val="00186fa9"/>
    <w:rPr>
      <w:rFonts w:eastAsia="" w:eastAsiaTheme="minorEastAsia"/>
      <w:b/>
      <w:i/>
      <w:color w:val="FFFFFF" w:themeColor="background1"/>
      <w:sz w:val="20"/>
      <w:szCs w:val="20"/>
      <w:shd w:fill="ED7D31" w:val="clear"/>
    </w:rPr>
  </w:style>
  <w:style w:type="character" w:styleId="SubtleEmphasis">
    <w:name w:val="Subtle Emphasis"/>
    <w:uiPriority w:val="19"/>
    <w:qFormat/>
    <w:rsid w:val="00186fa9"/>
    <w:rPr>
      <w:i/>
    </w:rPr>
  </w:style>
  <w:style w:type="character" w:styleId="IntenseEmphasis">
    <w:name w:val="Intense Emphasis"/>
    <w:uiPriority w:val="21"/>
    <w:qFormat/>
    <w:rsid w:val="00186fa9"/>
    <w:rPr>
      <w:rFonts w:ascii="Calibri" w:hAnsi="Calibri" w:asciiTheme="minorHAnsi" w:hAnsiTheme="minorHAnsi"/>
      <w:b/>
      <w:i/>
      <w:color w:val="525252" w:themeColor="accent3" w:themeShade="80"/>
      <w:spacing w:val="10"/>
      <w:sz w:val="28"/>
    </w:rPr>
  </w:style>
  <w:style w:type="character" w:styleId="SubtleReference">
    <w:name w:val="Subtle Reference"/>
    <w:uiPriority w:val="31"/>
    <w:qFormat/>
    <w:rsid w:val="00186fa9"/>
    <w:rPr>
      <w:b/>
    </w:rPr>
  </w:style>
  <w:style w:type="character" w:styleId="IntenseReference">
    <w:name w:val="Intense Reference"/>
    <w:uiPriority w:val="32"/>
    <w:qFormat/>
    <w:rsid w:val="00186fa9"/>
    <w:rPr>
      <w:b/>
      <w:bCs/>
      <w:smallCaps/>
      <w:spacing w:val="5"/>
      <w:sz w:val="22"/>
      <w:szCs w:val="22"/>
      <w:u w:val="single"/>
    </w:rPr>
  </w:style>
  <w:style w:type="character" w:styleId="BookTitle">
    <w:name w:val="Book Title"/>
    <w:uiPriority w:val="33"/>
    <w:qFormat/>
    <w:rsid w:val="00186fa9"/>
    <w:rPr>
      <w:rFonts w:ascii="Calibri Light" w:hAnsi="Calibri Light" w:eastAsia="" w:cs="" w:asciiTheme="majorHAnsi" w:cstheme="majorBidi" w:eastAsiaTheme="majorEastAsia" w:hAnsiTheme="majorHAnsi"/>
      <w:i/>
      <w:iCs/>
      <w:sz w:val="20"/>
      <w:szCs w:val="20"/>
    </w:rPr>
  </w:style>
  <w:style w:type="character" w:styleId="RecuodecorpodetextoChar" w:customStyle="1">
    <w:name w:val="Recuo de corpo de texto Char"/>
    <w:basedOn w:val="DefaultParagraphFont"/>
    <w:uiPriority w:val="99"/>
    <w:qFormat/>
    <w:rsid w:val="00186fa9"/>
    <w:rPr>
      <w:rFonts w:ascii="Times New Roman" w:hAnsi="Times New Roman" w:eastAsia="Times New Roman" w:cs="Times New Roman"/>
      <w:sz w:val="20"/>
      <w:szCs w:val="20"/>
      <w:lang w:eastAsia="pt-BR"/>
    </w:rPr>
  </w:style>
  <w:style w:type="character" w:styleId="SubttuloCaptuloChar" w:customStyle="1">
    <w:name w:val="Subtítulo Capítulo Char"/>
    <w:basedOn w:val="DefaultParagraphFont"/>
    <w:link w:val="SubttuloCaptulo"/>
    <w:qFormat/>
    <w:rsid w:val="00186fa9"/>
    <w:rPr>
      <w:rFonts w:ascii="Arial" w:hAnsi="Arial" w:eastAsia="" w:cs="Arial" w:eastAsiaTheme="minorEastAsia"/>
      <w:i/>
      <w:spacing w:val="10"/>
      <w:sz w:val="24"/>
    </w:rPr>
  </w:style>
  <w:style w:type="character" w:styleId="SubttulosinternosChar" w:customStyle="1">
    <w:name w:val="Subtítulos internos Char"/>
    <w:basedOn w:val="Ttulo2Char"/>
    <w:link w:val="Subttulosinternos"/>
    <w:qFormat/>
    <w:rsid w:val="00186fa9"/>
    <w:rPr>
      <w:rFonts w:ascii="Times New Roman" w:hAnsi="Times New Roman" w:eastAsia="Times New Roman" w:cs="Times New Roman"/>
      <w:i/>
      <w:caps w:val="false"/>
      <w:smallCaps w:val="false"/>
      <w:spacing w:val="5"/>
      <w:sz w:val="28"/>
      <w:szCs w:val="28"/>
      <w:lang w:val="en-US" w:eastAsia="pt-BR"/>
    </w:rPr>
  </w:style>
  <w:style w:type="character" w:styleId="Linkdainternetvisitado" w:customStyle="1">
    <w:name w:val="Link da internet visitado"/>
    <w:basedOn w:val="DefaultParagraphFont"/>
    <w:uiPriority w:val="99"/>
    <w:semiHidden/>
    <w:unhideWhenUsed/>
    <w:rsid w:val="00186fa9"/>
    <w:rPr>
      <w:color w:val="800080"/>
      <w:u w:val="single"/>
    </w:rPr>
  </w:style>
  <w:style w:type="character" w:styleId="PlaceholderText">
    <w:name w:val="Placeholder Text"/>
    <w:basedOn w:val="DefaultParagraphFont"/>
    <w:uiPriority w:val="99"/>
    <w:semiHidden/>
    <w:qFormat/>
    <w:rsid w:val="00186fa9"/>
    <w:rPr>
      <w:color w:val="808080"/>
    </w:rPr>
  </w:style>
  <w:style w:type="character" w:styleId="Hps" w:customStyle="1">
    <w:name w:val="hps"/>
    <w:basedOn w:val="DefaultParagraphFont"/>
    <w:qFormat/>
    <w:rsid w:val="00186fa9"/>
    <w:rPr/>
  </w:style>
  <w:style w:type="character" w:styleId="Appleconvertedspace" w:customStyle="1">
    <w:name w:val="apple-converted-space"/>
    <w:basedOn w:val="DefaultParagraphFont"/>
    <w:qFormat/>
    <w:rsid w:val="00186fa9"/>
    <w:rPr/>
  </w:style>
  <w:style w:type="paragraph" w:styleId="Ttulo">
    <w:name w:val="Título"/>
    <w:basedOn w:val="Normal"/>
    <w:next w:val="Corpodotexto"/>
    <w:qFormat/>
    <w:pPr>
      <w:keepNext w:val="true"/>
      <w:spacing w:before="240" w:after="120"/>
    </w:pPr>
    <w:rPr>
      <w:rFonts w:ascii="Liberation Sans" w:hAnsi="Liberation Sans" w:eastAsia="Noto Sans CJK SC" w:cs="Lohit Devanagari"/>
      <w:sz w:val="28"/>
      <w:szCs w:val="28"/>
    </w:rPr>
  </w:style>
  <w:style w:type="paragraph" w:styleId="Corpodotexto">
    <w:name w:val="Body Text"/>
    <w:basedOn w:val="Normal"/>
    <w:pPr>
      <w:spacing w:before="0" w:after="140"/>
    </w:pPr>
    <w:rPr/>
  </w:style>
  <w:style w:type="paragraph" w:styleId="Lista">
    <w:name w:val="List"/>
    <w:basedOn w:val="Corpodotexto"/>
    <w:pPr/>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Ndice" w:customStyle="1">
    <w:name w:val="Índice"/>
    <w:basedOn w:val="Normal"/>
    <w:qFormat/>
    <w:pPr>
      <w:suppressLineNumbers/>
    </w:pPr>
    <w:rPr>
      <w:rFonts w:cs="Lohit Devanagari"/>
    </w:rPr>
  </w:style>
  <w:style w:type="paragraph" w:styleId="Ttulododocumento">
    <w:name w:val="Title"/>
    <w:basedOn w:val="Normal"/>
    <w:next w:val="Corpodotexto"/>
    <w:link w:val="TtuloChar"/>
    <w:autoRedefine/>
    <w:uiPriority w:val="10"/>
    <w:qFormat/>
    <w:rsid w:val="00c14c0e"/>
    <w:pPr>
      <w:pBdr>
        <w:top w:val="single" w:sz="12" w:space="1" w:color="525252"/>
      </w:pBdr>
      <w:spacing w:lineRule="auto" w:line="360"/>
      <w:jc w:val="right"/>
    </w:pPr>
    <w:rPr>
      <w:rFonts w:eastAsia="Times New Roman" w:cs="Times New Roman"/>
      <w:smallCaps/>
      <w:sz w:val="28"/>
      <w:szCs w:val="24"/>
    </w:rPr>
  </w:style>
  <w:style w:type="paragraph" w:styleId="Caption">
    <w:name w:val="caption"/>
    <w:basedOn w:val="Normal"/>
    <w:next w:val="Normal"/>
    <w:uiPriority w:val="35"/>
    <w:unhideWhenUsed/>
    <w:qFormat/>
    <w:rsid w:val="00186fa9"/>
    <w:pPr/>
    <w:rPr>
      <w:b/>
      <w:bCs/>
      <w:caps/>
      <w:sz w:val="16"/>
      <w:szCs w:val="18"/>
    </w:rPr>
  </w:style>
  <w:style w:type="paragraph" w:styleId="Annotationtext">
    <w:name w:val="annotation text"/>
    <w:basedOn w:val="Normal"/>
    <w:link w:val="TextodecomentrioChar"/>
    <w:uiPriority w:val="99"/>
    <w:unhideWhenUsed/>
    <w:qFormat/>
    <w:rsid w:val="00186fa9"/>
    <w:pPr>
      <w:spacing w:lineRule="auto" w:line="240"/>
    </w:pPr>
    <w:rPr/>
  </w:style>
  <w:style w:type="paragraph" w:styleId="Annotationsubject">
    <w:name w:val="annotation subject"/>
    <w:basedOn w:val="Annotationtext"/>
    <w:next w:val="Annotationtext"/>
    <w:link w:val="AssuntodocomentrioChar"/>
    <w:uiPriority w:val="99"/>
    <w:semiHidden/>
    <w:unhideWhenUsed/>
    <w:qFormat/>
    <w:rsid w:val="00186fa9"/>
    <w:pPr/>
    <w:rPr>
      <w:b/>
      <w:bCs/>
    </w:rPr>
  </w:style>
  <w:style w:type="paragraph" w:styleId="BalloonText">
    <w:name w:val="Balloon Text"/>
    <w:basedOn w:val="Normal"/>
    <w:link w:val="TextodebaloChar"/>
    <w:uiPriority w:val="99"/>
    <w:semiHidden/>
    <w:unhideWhenUsed/>
    <w:qFormat/>
    <w:rsid w:val="00186fa9"/>
    <w:pPr>
      <w:spacing w:lineRule="auto" w:line="240" w:before="0" w:after="0"/>
    </w:pPr>
    <w:rPr>
      <w:rFonts w:ascii="Tahoma" w:hAnsi="Tahoma" w:cs="Tahoma"/>
      <w:sz w:val="16"/>
      <w:szCs w:val="16"/>
    </w:rPr>
  </w:style>
  <w:style w:type="paragraph" w:styleId="Notadefim">
    <w:name w:val="Endnote Text"/>
    <w:basedOn w:val="Normal"/>
    <w:link w:val="TextodenotadefimChar"/>
    <w:uiPriority w:val="99"/>
    <w:semiHidden/>
    <w:unhideWhenUsed/>
    <w:rsid w:val="00186fa9"/>
    <w:pPr>
      <w:spacing w:lineRule="auto" w:line="240" w:before="0" w:after="0"/>
    </w:pPr>
    <w:rPr/>
  </w:style>
  <w:style w:type="paragraph" w:styleId="Notaderodap">
    <w:name w:val="Footnote Text"/>
    <w:basedOn w:val="Normal"/>
    <w:link w:val="TextodenotaderodapChar"/>
    <w:uiPriority w:val="99"/>
    <w:unhideWhenUsed/>
    <w:rsid w:val="00186fa9"/>
    <w:pPr>
      <w:spacing w:lineRule="auto" w:line="240" w:before="0" w:after="0"/>
    </w:pPr>
    <w:rPr/>
  </w:style>
  <w:style w:type="paragraph" w:styleId="CabealhoeRodap" w:customStyle="1">
    <w:name w:val="Cabeçalho e Rodapé"/>
    <w:basedOn w:val="Normal"/>
    <w:qFormat/>
    <w:pPr/>
    <w:rPr/>
  </w:style>
  <w:style w:type="paragraph" w:styleId="Cabealho">
    <w:name w:val="Header"/>
    <w:basedOn w:val="Normal"/>
    <w:link w:val="CabealhoChar"/>
    <w:uiPriority w:val="99"/>
    <w:unhideWhenUsed/>
    <w:rsid w:val="00186fa9"/>
    <w:pPr>
      <w:tabs>
        <w:tab w:val="clear" w:pos="708"/>
        <w:tab w:val="center" w:pos="4252" w:leader="none"/>
        <w:tab w:val="right" w:pos="8504" w:leader="none"/>
      </w:tabs>
      <w:spacing w:lineRule="auto" w:line="240" w:before="0" w:after="0"/>
    </w:pPr>
    <w:rPr/>
  </w:style>
  <w:style w:type="paragraph" w:styleId="Rodap">
    <w:name w:val="Footer"/>
    <w:basedOn w:val="Normal"/>
    <w:link w:val="RodapChar"/>
    <w:uiPriority w:val="99"/>
    <w:unhideWhenUsed/>
    <w:rsid w:val="00186fa9"/>
    <w:pPr>
      <w:tabs>
        <w:tab w:val="clear" w:pos="708"/>
        <w:tab w:val="center" w:pos="4252" w:leader="none"/>
        <w:tab w:val="right" w:pos="8504" w:leader="none"/>
      </w:tabs>
      <w:spacing w:lineRule="auto" w:line="240" w:before="0" w:after="0"/>
    </w:pPr>
    <w:rPr/>
  </w:style>
  <w:style w:type="paragraph" w:styleId="ListParagraph">
    <w:name w:val="List Paragraph"/>
    <w:basedOn w:val="Normal"/>
    <w:uiPriority w:val="34"/>
    <w:qFormat/>
    <w:rsid w:val="00186fa9"/>
    <w:pPr>
      <w:spacing w:before="0" w:after="200"/>
      <w:ind w:left="720" w:hanging="0"/>
      <w:contextualSpacing/>
    </w:pPr>
    <w:rPr/>
  </w:style>
  <w:style w:type="paragraph" w:styleId="Subttulo">
    <w:name w:val="Subtitle"/>
    <w:basedOn w:val="Normal"/>
    <w:next w:val="Normal"/>
    <w:link w:val="SubttuloChar"/>
    <w:uiPriority w:val="11"/>
    <w:qFormat/>
    <w:rsid w:val="00186fa9"/>
    <w:pPr>
      <w:spacing w:lineRule="auto" w:line="240" w:before="0" w:after="720"/>
      <w:jc w:val="right"/>
    </w:pPr>
    <w:rPr>
      <w:rFonts w:ascii="Calibri Light" w:hAnsi="Calibri Light" w:eastAsia="" w:cs="" w:asciiTheme="majorHAnsi" w:cstheme="majorBidi" w:eastAsiaTheme="majorEastAsia" w:hAnsiTheme="majorHAnsi"/>
      <w:szCs w:val="22"/>
    </w:rPr>
  </w:style>
  <w:style w:type="paragraph" w:styleId="NoSpacing">
    <w:name w:val="No Spacing"/>
    <w:basedOn w:val="Normal"/>
    <w:link w:val="SemEspaamentoChar"/>
    <w:uiPriority w:val="1"/>
    <w:qFormat/>
    <w:rsid w:val="00186fa9"/>
    <w:pPr>
      <w:spacing w:lineRule="auto" w:line="240" w:before="0" w:after="0"/>
    </w:pPr>
    <w:rPr/>
  </w:style>
  <w:style w:type="paragraph" w:styleId="Quote">
    <w:name w:val="Quote"/>
    <w:basedOn w:val="Normal"/>
    <w:next w:val="Normal"/>
    <w:link w:val="CitaoChar"/>
    <w:uiPriority w:val="29"/>
    <w:qFormat/>
    <w:rsid w:val="00186fa9"/>
    <w:pPr/>
    <w:rPr>
      <w:i/>
    </w:rPr>
  </w:style>
  <w:style w:type="paragraph" w:styleId="IntenseQuote">
    <w:name w:val="Intense Quote"/>
    <w:basedOn w:val="Normal"/>
    <w:next w:val="Normal"/>
    <w:link w:val="CitaoIntensaChar"/>
    <w:uiPriority w:val="30"/>
    <w:qFormat/>
    <w:rsid w:val="00186fa9"/>
    <w:pPr>
      <w:pBdr>
        <w:top w:val="single" w:sz="8" w:space="10" w:color="C45911"/>
        <w:left w:val="single" w:sz="8" w:space="10" w:color="C45911"/>
        <w:bottom w:val="single" w:sz="8" w:space="10" w:color="C45911"/>
        <w:right w:val="single" w:sz="8" w:space="10" w:color="C45911"/>
      </w:pBdr>
      <w:shd w:val="clear" w:color="auto" w:fill="ED7D31" w:themeFill="accent2"/>
      <w:spacing w:before="140" w:after="140"/>
      <w:ind w:left="1440" w:right="1440" w:hanging="0"/>
    </w:pPr>
    <w:rPr>
      <w:b/>
      <w:i/>
      <w:color w:val="FFFFFF" w:themeColor="background1"/>
    </w:rPr>
  </w:style>
  <w:style w:type="paragraph" w:styleId="Indexheading">
    <w:name w:val="index heading"/>
    <w:basedOn w:val="Ttulododocumento"/>
    <w:qFormat/>
    <w:pPr/>
    <w:rPr/>
  </w:style>
  <w:style w:type="paragraph" w:styleId="Ttulodondicealfabtico">
    <w:name w:val="Index Heading"/>
    <w:basedOn w:val="Ttulo"/>
    <w:pPr/>
    <w:rPr/>
  </w:style>
  <w:style w:type="paragraph" w:styleId="Ttulodosumrio">
    <w:name w:val="TOC Heading"/>
    <w:basedOn w:val="Ttulo1"/>
    <w:next w:val="Normal"/>
    <w:uiPriority w:val="39"/>
    <w:unhideWhenUsed/>
    <w:qFormat/>
    <w:rsid w:val="00186fa9"/>
    <w:pPr>
      <w:pBdr>
        <w:top w:val="single" w:sz="24" w:space="1" w:color="525252"/>
      </w:pBdr>
      <w:spacing w:lineRule="auto" w:line="240"/>
      <w:ind w:firstLine="2410"/>
      <w:outlineLvl w:val="9"/>
    </w:pPr>
    <w:rPr>
      <w:rFonts w:eastAsia="Times New Roman"/>
      <w:lang w:eastAsia="pt-BR" w:bidi="en-US"/>
    </w:rPr>
  </w:style>
  <w:style w:type="paragraph" w:styleId="Sumrio1">
    <w:name w:val="TOC 1"/>
    <w:basedOn w:val="Normal"/>
    <w:next w:val="Normal"/>
    <w:autoRedefine/>
    <w:uiPriority w:val="39"/>
    <w:unhideWhenUsed/>
    <w:rsid w:val="00186fa9"/>
    <w:pPr>
      <w:spacing w:before="0" w:after="100"/>
    </w:pPr>
    <w:rPr/>
  </w:style>
  <w:style w:type="paragraph" w:styleId="Sumrio2">
    <w:name w:val="TOC 2"/>
    <w:basedOn w:val="Normal"/>
    <w:next w:val="Normal"/>
    <w:autoRedefine/>
    <w:uiPriority w:val="39"/>
    <w:unhideWhenUsed/>
    <w:rsid w:val="00186fa9"/>
    <w:pPr>
      <w:spacing w:before="0" w:after="100"/>
      <w:ind w:left="200" w:hanging="0"/>
    </w:pPr>
    <w:rPr/>
  </w:style>
  <w:style w:type="paragraph" w:styleId="Corpodotextorecuado">
    <w:name w:val="Body Text Indent"/>
    <w:basedOn w:val="Normal"/>
    <w:link w:val="RecuodecorpodetextoChar"/>
    <w:uiPriority w:val="99"/>
    <w:rsid w:val="00186fa9"/>
    <w:pPr>
      <w:spacing w:lineRule="auto" w:line="240" w:before="240" w:after="0"/>
      <w:ind w:firstLine="708"/>
      <w:jc w:val="left"/>
    </w:pPr>
    <w:rPr>
      <w:rFonts w:eastAsia="Times New Roman" w:cs="Times New Roman"/>
      <w:lang w:eastAsia="pt-BR"/>
    </w:rPr>
  </w:style>
  <w:style w:type="paragraph" w:styleId="Sumrio3">
    <w:name w:val="TOC 3"/>
    <w:basedOn w:val="Normal"/>
    <w:next w:val="Normal"/>
    <w:autoRedefine/>
    <w:uiPriority w:val="39"/>
    <w:unhideWhenUsed/>
    <w:rsid w:val="00186fa9"/>
    <w:pPr>
      <w:spacing w:before="0" w:after="100"/>
      <w:ind w:left="400" w:hanging="0"/>
    </w:pPr>
    <w:rPr/>
  </w:style>
  <w:style w:type="paragraph" w:styleId="SubttuloCaptulo" w:customStyle="1">
    <w:name w:val="Subtítulo Capítulo"/>
    <w:basedOn w:val="Ttulo4"/>
    <w:link w:val="SubttuloCaptuloChar"/>
    <w:autoRedefine/>
    <w:qFormat/>
    <w:rsid w:val="00186fa9"/>
    <w:pPr>
      <w:numPr>
        <w:ilvl w:val="0"/>
        <w:numId w:val="0"/>
      </w:numPr>
      <w:spacing w:lineRule="auto" w:line="240"/>
      <w:jc w:val="both"/>
      <w:outlineLvl w:val="9"/>
    </w:pPr>
    <w:rPr>
      <w:rFonts w:ascii="Arial" w:hAnsi="Arial" w:cs="Arial"/>
      <w:color w:val="auto"/>
      <w:sz w:val="24"/>
    </w:rPr>
  </w:style>
  <w:style w:type="paragraph" w:styleId="Tableoffigures">
    <w:name w:val="table of figures"/>
    <w:basedOn w:val="Normal"/>
    <w:next w:val="Normal"/>
    <w:uiPriority w:val="99"/>
    <w:unhideWhenUsed/>
    <w:qFormat/>
    <w:rsid w:val="00186fa9"/>
    <w:pPr>
      <w:spacing w:before="0" w:after="0"/>
    </w:pPr>
    <w:rPr/>
  </w:style>
  <w:style w:type="paragraph" w:styleId="NormalWeb">
    <w:name w:val="Normal (Web)"/>
    <w:basedOn w:val="Normal"/>
    <w:uiPriority w:val="99"/>
    <w:unhideWhenUsed/>
    <w:qFormat/>
    <w:rsid w:val="00186fa9"/>
    <w:pPr>
      <w:spacing w:lineRule="auto" w:line="240" w:beforeAutospacing="1" w:afterAutospacing="1"/>
      <w:jc w:val="left"/>
    </w:pPr>
    <w:rPr>
      <w:rFonts w:cs="Times New Roman"/>
      <w:sz w:val="24"/>
      <w:szCs w:val="24"/>
      <w:lang w:eastAsia="pt-BR"/>
    </w:rPr>
  </w:style>
  <w:style w:type="paragraph" w:styleId="Subttulosinternos" w:customStyle="1">
    <w:name w:val="Subtítulos internos"/>
    <w:basedOn w:val="Ttulo2"/>
    <w:link w:val="SubttulosinternosChar"/>
    <w:qFormat/>
    <w:rsid w:val="00186fa9"/>
    <w:pPr>
      <w:outlineLvl w:val="9"/>
    </w:pPr>
    <w:rPr>
      <w:sz w:val="28"/>
    </w:rPr>
  </w:style>
  <w:style w:type="paragraph" w:styleId="Xl63" w:customStyle="1">
    <w:name w:val="xl63"/>
    <w:basedOn w:val="Normal"/>
    <w:qFormat/>
    <w:rsid w:val="00186fa9"/>
    <w:pPr>
      <w:shd w:val="clear" w:color="000000" w:fill="FFFF00"/>
      <w:spacing w:lineRule="auto" w:line="240" w:beforeAutospacing="1" w:afterAutospacing="1"/>
      <w:jc w:val="left"/>
    </w:pPr>
    <w:rPr>
      <w:rFonts w:eastAsia="Times New Roman" w:cs="Times New Roman"/>
      <w:color w:val="FF0000"/>
      <w:sz w:val="24"/>
      <w:szCs w:val="24"/>
      <w:lang w:eastAsia="pt-BR"/>
    </w:rPr>
  </w:style>
  <w:style w:type="paragraph" w:styleId="Xl65" w:customStyle="1">
    <w:name w:val="xl65"/>
    <w:basedOn w:val="Normal"/>
    <w:qFormat/>
    <w:rsid w:val="00186fa9"/>
    <w:pPr>
      <w:spacing w:lineRule="auto" w:line="240" w:beforeAutospacing="1" w:afterAutospacing="1"/>
      <w:jc w:val="left"/>
    </w:pPr>
    <w:rPr>
      <w:rFonts w:eastAsia="Times New Roman" w:cs="Times New Roman"/>
      <w:sz w:val="24"/>
      <w:szCs w:val="24"/>
      <w:lang w:eastAsia="pt-BR"/>
    </w:rPr>
  </w:style>
  <w:style w:type="paragraph" w:styleId="Revision">
    <w:name w:val="Revision"/>
    <w:uiPriority w:val="99"/>
    <w:semiHidden/>
    <w:qFormat/>
    <w:rsid w:val="00186fa9"/>
    <w:pPr>
      <w:widowControl/>
      <w:suppressAutoHyphens w:val="true"/>
      <w:bidi w:val="0"/>
      <w:spacing w:before="0" w:after="0"/>
      <w:jc w:val="left"/>
    </w:pPr>
    <w:rPr>
      <w:rFonts w:ascii="Calibri" w:hAnsi="Calibri" w:eastAsia="" w:eastAsiaTheme="minorEastAsia" w:cs=""/>
      <w:color w:val="auto"/>
      <w:kern w:val="0"/>
      <w:sz w:val="20"/>
      <w:szCs w:val="20"/>
      <w:lang w:val="pt-BR" w:eastAsia="en-US" w:bidi="ar-SA"/>
    </w:rPr>
  </w:style>
  <w:style w:type="paragraph" w:styleId="Font0" w:customStyle="1">
    <w:name w:val="font0"/>
    <w:basedOn w:val="Normal"/>
    <w:qFormat/>
    <w:rsid w:val="00186fa9"/>
    <w:pPr>
      <w:spacing w:lineRule="auto" w:line="240" w:beforeAutospacing="1" w:afterAutospacing="1"/>
      <w:jc w:val="left"/>
    </w:pPr>
    <w:rPr>
      <w:rFonts w:ascii="Calibri" w:hAnsi="Calibri" w:eastAsia="Times New Roman" w:cs="Calibri"/>
      <w:color w:val="000000"/>
      <w:sz w:val="22"/>
      <w:szCs w:val="22"/>
      <w:lang w:eastAsia="pt-BR"/>
    </w:rPr>
  </w:style>
  <w:style w:type="paragraph" w:styleId="Font5" w:customStyle="1">
    <w:name w:val="font5"/>
    <w:basedOn w:val="Normal"/>
    <w:qFormat/>
    <w:rsid w:val="00186fa9"/>
    <w:pPr>
      <w:spacing w:lineRule="auto" w:line="240" w:beforeAutospacing="1" w:afterAutospacing="1"/>
      <w:jc w:val="left"/>
    </w:pPr>
    <w:rPr>
      <w:rFonts w:ascii="Calibri" w:hAnsi="Calibri" w:eastAsia="Times New Roman" w:cs="Calibri"/>
      <w:i/>
      <w:iCs/>
      <w:color w:val="000000"/>
      <w:sz w:val="22"/>
      <w:szCs w:val="22"/>
      <w:lang w:eastAsia="pt-BR"/>
    </w:rPr>
  </w:style>
  <w:style w:type="paragraph" w:styleId="Xl66" w:customStyle="1">
    <w:name w:val="xl66"/>
    <w:basedOn w:val="Normal"/>
    <w:qFormat/>
    <w:rsid w:val="00186fa9"/>
    <w:pPr>
      <w:spacing w:lineRule="auto" w:line="240" w:beforeAutospacing="1" w:afterAutospacing="1"/>
      <w:jc w:val="left"/>
      <w:textAlignment w:val="center"/>
    </w:pPr>
    <w:rPr>
      <w:rFonts w:eastAsia="Times New Roman" w:cs="Times New Roman"/>
      <w:sz w:val="24"/>
      <w:szCs w:val="24"/>
      <w:lang w:eastAsia="pt-BR"/>
    </w:rPr>
  </w:style>
  <w:style w:type="paragraph" w:styleId="Xl67" w:customStyle="1">
    <w:name w:val="xl67"/>
    <w:basedOn w:val="Normal"/>
    <w:qFormat/>
    <w:rsid w:val="00186fa9"/>
    <w:pPr>
      <w:shd w:val="clear" w:color="000000" w:fill="808080"/>
      <w:spacing w:lineRule="auto" w:line="240" w:beforeAutospacing="1" w:afterAutospacing="1"/>
      <w:jc w:val="left"/>
      <w:textAlignment w:val="center"/>
    </w:pPr>
    <w:rPr>
      <w:rFonts w:eastAsia="Times New Roman" w:cs="Times New Roman"/>
      <w:color w:val="FFFF00"/>
      <w:sz w:val="24"/>
      <w:szCs w:val="24"/>
      <w:lang w:eastAsia="pt-BR"/>
    </w:rPr>
  </w:style>
  <w:style w:type="paragraph" w:styleId="Xl68" w:customStyle="1">
    <w:name w:val="xl68"/>
    <w:basedOn w:val="Normal"/>
    <w:qFormat/>
    <w:rsid w:val="00186fa9"/>
    <w:pPr>
      <w:shd w:val="clear" w:color="000000" w:fill="808080"/>
      <w:spacing w:lineRule="auto" w:line="240" w:beforeAutospacing="1" w:afterAutospacing="1"/>
      <w:jc w:val="center"/>
      <w:textAlignment w:val="center"/>
    </w:pPr>
    <w:rPr>
      <w:rFonts w:eastAsia="Times New Roman" w:cs="Times New Roman"/>
      <w:color w:val="FFFF00"/>
      <w:sz w:val="24"/>
      <w:szCs w:val="24"/>
      <w:lang w:eastAsia="pt-BR"/>
    </w:rPr>
  </w:style>
  <w:style w:type="paragraph" w:styleId="Xl69" w:customStyle="1">
    <w:name w:val="xl69"/>
    <w:basedOn w:val="Normal"/>
    <w:qFormat/>
    <w:rsid w:val="00186fa9"/>
    <w:pPr>
      <w:shd w:val="clear" w:color="000000" w:fill="FF0000"/>
      <w:spacing w:lineRule="auto" w:line="240" w:beforeAutospacing="1" w:afterAutospacing="1"/>
      <w:jc w:val="center"/>
      <w:textAlignment w:val="center"/>
    </w:pPr>
    <w:rPr>
      <w:rFonts w:eastAsia="Times New Roman" w:cs="Times New Roman"/>
      <w:sz w:val="24"/>
      <w:szCs w:val="24"/>
      <w:lang w:eastAsia="pt-BR"/>
    </w:rPr>
  </w:style>
  <w:style w:type="paragraph" w:styleId="Xl70" w:customStyle="1">
    <w:name w:val="xl70"/>
    <w:basedOn w:val="Normal"/>
    <w:qFormat/>
    <w:rsid w:val="00186fa9"/>
    <w:pPr>
      <w:shd w:val="clear" w:color="000000" w:fill="FFC000"/>
      <w:spacing w:lineRule="auto" w:line="240" w:beforeAutospacing="1" w:afterAutospacing="1"/>
      <w:jc w:val="center"/>
      <w:textAlignment w:val="center"/>
    </w:pPr>
    <w:rPr>
      <w:rFonts w:eastAsia="Times New Roman" w:cs="Times New Roman"/>
      <w:sz w:val="24"/>
      <w:szCs w:val="24"/>
      <w:lang w:eastAsia="pt-BR"/>
    </w:rPr>
  </w:style>
  <w:style w:type="paragraph" w:styleId="Xl71" w:customStyle="1">
    <w:name w:val="xl71"/>
    <w:basedOn w:val="Normal"/>
    <w:qFormat/>
    <w:rsid w:val="00186fa9"/>
    <w:pPr>
      <w:shd w:val="clear" w:color="000000" w:fill="FFFF00"/>
      <w:spacing w:lineRule="auto" w:line="240" w:beforeAutospacing="1" w:afterAutospacing="1"/>
      <w:jc w:val="center"/>
      <w:textAlignment w:val="center"/>
    </w:pPr>
    <w:rPr>
      <w:rFonts w:eastAsia="Times New Roman" w:cs="Times New Roman"/>
      <w:sz w:val="24"/>
      <w:szCs w:val="24"/>
      <w:lang w:eastAsia="pt-BR"/>
    </w:rPr>
  </w:style>
  <w:style w:type="paragraph" w:styleId="Xl72" w:customStyle="1">
    <w:name w:val="xl72"/>
    <w:basedOn w:val="Normal"/>
    <w:qFormat/>
    <w:rsid w:val="00186fa9"/>
    <w:pPr>
      <w:shd w:val="clear" w:color="000000" w:fill="FFFF00"/>
      <w:spacing w:lineRule="auto" w:line="240" w:beforeAutospacing="1" w:afterAutospacing="1"/>
      <w:jc w:val="left"/>
      <w:textAlignment w:val="center"/>
    </w:pPr>
    <w:rPr>
      <w:rFonts w:eastAsia="Times New Roman" w:cs="Times New Roman"/>
      <w:sz w:val="24"/>
      <w:szCs w:val="24"/>
      <w:lang w:eastAsia="pt-BR"/>
    </w:rPr>
  </w:style>
  <w:style w:type="paragraph" w:styleId="Xl73" w:customStyle="1">
    <w:name w:val="xl73"/>
    <w:basedOn w:val="Normal"/>
    <w:qFormat/>
    <w:rsid w:val="00186fa9"/>
    <w:pPr>
      <w:shd w:val="clear" w:color="000000" w:fill="808080"/>
      <w:spacing w:lineRule="auto" w:line="240" w:beforeAutospacing="1" w:afterAutospacing="1"/>
      <w:jc w:val="center"/>
      <w:textAlignment w:val="center"/>
    </w:pPr>
    <w:rPr>
      <w:rFonts w:eastAsia="Times New Roman" w:cs="Times New Roman"/>
      <w:color w:val="FFFF00"/>
      <w:sz w:val="24"/>
      <w:szCs w:val="24"/>
      <w:lang w:eastAsia="pt-BR"/>
    </w:rPr>
  </w:style>
  <w:style w:type="paragraph" w:styleId="Xl74" w:customStyle="1">
    <w:name w:val="xl74"/>
    <w:basedOn w:val="Normal"/>
    <w:qFormat/>
    <w:rsid w:val="00186fa9"/>
    <w:pPr>
      <w:shd w:val="clear" w:color="000000" w:fill="FF0000"/>
      <w:spacing w:lineRule="auto" w:line="240" w:beforeAutospacing="1" w:afterAutospacing="1"/>
      <w:jc w:val="left"/>
      <w:textAlignment w:val="center"/>
    </w:pPr>
    <w:rPr>
      <w:rFonts w:eastAsia="Times New Roman" w:cs="Times New Roman"/>
      <w:sz w:val="24"/>
      <w:szCs w:val="24"/>
      <w:lang w:eastAsia="pt-BR"/>
    </w:rPr>
  </w:style>
  <w:style w:type="paragraph" w:styleId="Xl75" w:customStyle="1">
    <w:name w:val="xl75"/>
    <w:basedOn w:val="Normal"/>
    <w:qFormat/>
    <w:rsid w:val="00186fa9"/>
    <w:pPr>
      <w:shd w:val="clear" w:color="000000" w:fill="FFC000"/>
      <w:spacing w:lineRule="auto" w:line="240" w:beforeAutospacing="1" w:afterAutospacing="1"/>
      <w:jc w:val="left"/>
      <w:textAlignment w:val="center"/>
    </w:pPr>
    <w:rPr>
      <w:rFonts w:eastAsia="Times New Roman" w:cs="Times New Roman"/>
      <w:sz w:val="24"/>
      <w:szCs w:val="24"/>
      <w:lang w:eastAsia="pt-BR"/>
    </w:rPr>
  </w:style>
  <w:style w:type="paragraph" w:styleId="Xl76" w:customStyle="1">
    <w:name w:val="xl76"/>
    <w:basedOn w:val="Normal"/>
    <w:qFormat/>
    <w:rsid w:val="00186fa9"/>
    <w:pPr>
      <w:shd w:val="clear" w:color="000000" w:fill="92D050"/>
      <w:spacing w:lineRule="auto" w:line="240" w:beforeAutospacing="1" w:afterAutospacing="1"/>
      <w:jc w:val="left"/>
      <w:textAlignment w:val="center"/>
    </w:pPr>
    <w:rPr>
      <w:rFonts w:eastAsia="Times New Roman" w:cs="Times New Roman"/>
      <w:sz w:val="24"/>
      <w:szCs w:val="24"/>
      <w:lang w:eastAsia="pt-BR"/>
    </w:rPr>
  </w:style>
  <w:style w:type="paragraph" w:styleId="Xl64" w:customStyle="1">
    <w:name w:val="xl64"/>
    <w:basedOn w:val="Normal"/>
    <w:qFormat/>
    <w:rsid w:val="00186fa9"/>
    <w:pPr>
      <w:shd w:val="clear" w:color="000000" w:fill="BFBFBF"/>
      <w:spacing w:lineRule="auto" w:line="240" w:beforeAutospacing="1" w:afterAutospacing="1"/>
      <w:jc w:val="center"/>
      <w:textAlignment w:val="center"/>
    </w:pPr>
    <w:rPr>
      <w:rFonts w:eastAsia="Times New Roman" w:cs="Times New Roman"/>
      <w:sz w:val="24"/>
      <w:szCs w:val="24"/>
      <w:lang w:eastAsia="pt-BR"/>
    </w:rPr>
  </w:style>
  <w:style w:type="paragraph" w:styleId="Xl77" w:customStyle="1">
    <w:name w:val="xl77"/>
    <w:basedOn w:val="Normal"/>
    <w:qFormat/>
    <w:rsid w:val="00186fa9"/>
    <w:pPr>
      <w:shd w:val="clear" w:color="000000" w:fill="808080"/>
      <w:spacing w:lineRule="auto" w:line="240" w:beforeAutospacing="1" w:afterAutospacing="1"/>
      <w:jc w:val="center"/>
      <w:textAlignment w:val="center"/>
    </w:pPr>
    <w:rPr>
      <w:rFonts w:eastAsia="Times New Roman" w:cs="Times New Roman"/>
      <w:i/>
      <w:iCs/>
      <w:sz w:val="24"/>
      <w:szCs w:val="24"/>
      <w:lang w:eastAsia="pt-BR"/>
    </w:rPr>
  </w:style>
  <w:style w:type="paragraph" w:styleId="Xl78" w:customStyle="1">
    <w:name w:val="xl78"/>
    <w:basedOn w:val="Normal"/>
    <w:qFormat/>
    <w:rsid w:val="00186fa9"/>
    <w:pPr>
      <w:shd w:val="clear" w:color="000000" w:fill="808080"/>
      <w:spacing w:lineRule="auto" w:line="240" w:beforeAutospacing="1" w:afterAutospacing="1"/>
      <w:jc w:val="center"/>
      <w:textAlignment w:val="center"/>
    </w:pPr>
    <w:rPr>
      <w:rFonts w:eastAsia="Times New Roman" w:cs="Times New Roman"/>
      <w:sz w:val="24"/>
      <w:szCs w:val="24"/>
      <w:lang w:eastAsia="pt-BR"/>
    </w:rPr>
  </w:style>
  <w:style w:type="paragraph" w:styleId="Xl79" w:customStyle="1">
    <w:name w:val="xl79"/>
    <w:basedOn w:val="Normal"/>
    <w:qFormat/>
    <w:rsid w:val="00186fa9"/>
    <w:pPr>
      <w:shd w:val="clear" w:color="000000" w:fill="808080"/>
      <w:spacing w:lineRule="auto" w:line="240" w:beforeAutospacing="1" w:afterAutospacing="1"/>
      <w:jc w:val="left"/>
    </w:pPr>
    <w:rPr>
      <w:rFonts w:eastAsia="Times New Roman" w:cs="Times New Roman"/>
      <w:sz w:val="24"/>
      <w:szCs w:val="24"/>
      <w:lang w:eastAsia="pt-BR"/>
    </w:rPr>
  </w:style>
  <w:style w:type="paragraph" w:styleId="Xl80" w:customStyle="1">
    <w:name w:val="xl80"/>
    <w:basedOn w:val="Normal"/>
    <w:qFormat/>
    <w:rsid w:val="00186fa9"/>
    <w:pPr>
      <w:pBdr>
        <w:bottom w:val="single" w:sz="4" w:space="0" w:color="000000"/>
      </w:pBdr>
      <w:spacing w:lineRule="auto" w:line="240" w:beforeAutospacing="1" w:afterAutospacing="1"/>
      <w:jc w:val="left"/>
    </w:pPr>
    <w:rPr>
      <w:rFonts w:eastAsia="Times New Roman" w:cs="Times New Roman"/>
      <w:sz w:val="24"/>
      <w:szCs w:val="24"/>
      <w:lang w:eastAsia="pt-BR"/>
    </w:rPr>
  </w:style>
  <w:style w:type="paragraph" w:styleId="Standard" w:customStyle="1">
    <w:name w:val="Standard"/>
    <w:qFormat/>
    <w:rsid w:val="00b1716f"/>
    <w:pPr>
      <w:widowControl/>
      <w:suppressAutoHyphens w:val="true"/>
      <w:bidi w:val="0"/>
      <w:spacing w:lineRule="auto" w:line="276" w:before="0" w:after="200"/>
      <w:jc w:val="both"/>
      <w:textAlignment w:val="baseline"/>
    </w:pPr>
    <w:rPr>
      <w:rFonts w:ascii="Times New Roman" w:hAnsi="Times New Roman" w:eastAsia="F" w:cs="Times New Roman"/>
      <w:color w:val="auto"/>
      <w:kern w:val="0"/>
      <w:sz w:val="20"/>
      <w:szCs w:val="20"/>
      <w:lang w:val="pt-BR" w:eastAsia="en-US" w:bidi="ar-SA"/>
    </w:rPr>
  </w:style>
  <w:style w:type="numbering" w:styleId="NoList" w:default="1">
    <w:name w:val="No List"/>
    <w:uiPriority w:val="99"/>
    <w:semiHidden/>
    <w:unhideWhenUsed/>
    <w:qFormat/>
  </w:style>
  <w:style w:type="numbering" w:styleId="Estilo1" w:customStyle="1">
    <w:name w:val="Estilo1"/>
    <w:qFormat/>
    <w:rsid w:val="00186fa9"/>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uiPriority w:val="59"/>
    <w:rsid w:val="00186fa9"/>
    <w:pPr>
      <w:jc w:val="both"/>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ombreamentoMdio1-nfase3">
    <w:name w:val="Medium Shading 1 Accent 3"/>
    <w:basedOn w:val="Tabelanormal"/>
    <w:uiPriority w:val="63"/>
    <w:rsid w:val="00186fa9"/>
    <w:pPr>
      <w:jc w:val="both"/>
    </w:pPr>
    <w:rPr>
      <w:rFonts w:eastAsiaTheme="minorEastAsia"/>
      <w:sz w:val="20"/>
      <w:szCs w:val="20"/>
    </w:rPr>
    <w:tblPr>
      <w:tblStyleRowBandSize w:val="1"/>
      <w:tblStyleColBandSize w:val="1"/>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SombreamentoClaro1">
    <w:name w:val="Sombreamento Claro1"/>
    <w:basedOn w:val="Tabelanormal"/>
    <w:uiPriority w:val="60"/>
    <w:rsid w:val="00186fa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3">
    <w:name w:val="Light Shading Accent 3"/>
    <w:basedOn w:val="Tabelanormal"/>
    <w:uiPriority w:val="60"/>
    <w:rsid w:val="00186fa9"/>
    <w:pPr>
      <w:jc w:val="both"/>
    </w:pPr>
    <w:rPr>
      <w:rFonts w:eastAsiaTheme="minorEastAsia"/>
      <w:color w:val="7B7B7B" w:themeColor="accent3" w:themeShade="bf"/>
      <w:sz w:val="20"/>
      <w:szCs w:val="20"/>
    </w:rPr>
    <w:tblPr>
      <w:tblStyleRowBandSize w:val="1"/>
      <w:tblStyleColBandSize w:val="1"/>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TabeladeLista1Clara">
    <w:name w:val="List Table 1 Light"/>
    <w:basedOn w:val="Tabelanormal"/>
    <w:uiPriority w:val="46"/>
    <w:rsid w:val="0068337e"/>
    <w:tblPr>
      <w:tblStyleRowBandSize w:val="1"/>
      <w:tblStyleColBandSize w:val="1"/>
    </w:tblPr>
    <w:tblStylePr w:type="firstRow">
      <w:rPr>
        <w:b/>
        <w:bCs/>
      </w:rPr>
      <w:tblPr/>
      <w:tcPr>
        <w:tcBorders>
          <w:bottom w:val="single" w:color="000000" w:themeColor="text1" w:sz="4" w:space="0"/>
        </w:tcBorders>
      </w:tcPr>
    </w:tblStylePr>
    <w:tblStylePr w:type="lastRow">
      <w:rPr>
        <w:b/>
        <w:bCs/>
      </w:rPr>
      <w:tblPr/>
      <w:tcPr>
        <w:tcBorders>
          <w:top w:val="single" w:color="000000"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7Colorida">
    <w:name w:val="List Table 7 Colorful"/>
    <w:basedOn w:val="Tabelanormal"/>
    <w:uiPriority w:val="52"/>
    <w:rsid w:val="0068337e"/>
    <w:rPr>
      <w:color w:val="000000" w:themeColor="text1"/>
    </w:rPr>
    <w:tblPr>
      <w:tblStyleRowBandSize w:val="1"/>
      <w:tblStyleColBandSize w:val="1"/>
    </w:tblPr>
    <w:tblStylePr w:type="firstRow">
      <w:rPr>
        <w:rFonts w:asciiTheme="majorHAnsi" w:hAnsiTheme="majorHAnsi" w:eastAsiaTheme="majorEastAsia" w:cstheme="majorBidi"/>
        <w:i/>
        <w:sz w:val="26"/>
      </w:rPr>
      <w:tbl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sz w:val="26"/>
      </w:rPr>
      <w:tbl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sz w:val="26"/>
      </w:rPr>
      <w:tbl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sz w:val="26"/>
      </w:rPr>
      <w:tblPr/>
      <w:tcPr>
        <w:tcBorders>
          <w:left w:val="single" w:color="000000" w:themeColor="text1" w:sz="4" w:space="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comments" Target="comments.xml"/><Relationship Id="rId8" Type="http://schemas.microsoft.com/office/2011/relationships/commentsExtended" Target="commentsExtended.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Série 1</c:v>
                </c:pt>
              </c:strCache>
            </c:strRef>
          </c:tx>
          <c:spPr>
            <a:gradFill>
              <a:gsLst>
                <a:gs pos="0">
                  <a:srgbClr val="767676"/>
                </a:gs>
                <a:gs pos="100000">
                  <a:srgbClr val="636363"/>
                </a:gs>
              </a:gsLst>
              <a:lin ang="5400000"/>
            </a:gradFill>
            <a:ln w="0">
              <a:noFill/>
            </a:ln>
          </c:spPr>
          <c:invertIfNegative val="0"/>
          <c:dLbls>
            <c:numFmt formatCode="General" sourceLinked="0"/>
            <c:txPr>
              <a:bodyPr wrap="square"/>
              <a:lstStyle/>
              <a:p>
                <a:pPr>
                  <a:defRPr b="0" lang="pt-BR" sz="1000" spc="-1" strike="noStrike">
                    <a:solidFill>
                      <a:srgbClr val="000000"/>
                    </a:solidFill>
                    <a:latin typeface="Calibri"/>
                  </a:defRPr>
                </a:pPr>
              </a:p>
            </c:txPr>
            <c:dLblPos val="outEnd"/>
            <c:showLegendKey val="0"/>
            <c:showVal val="1"/>
            <c:showCatName val="0"/>
            <c:showSerName val="0"/>
            <c:showPercent val="0"/>
            <c:separator>; </c:separator>
            <c:showLeaderLines val="0"/>
            <c:extLst>
              <c:ext xmlns:c15="http://schemas.microsoft.com/office/drawing/2012/chart" uri="{CE6537A1-D6FC-4f65-9D91-7224C49458BB}">
                <c15:showLeaderLines val="0"/>
              </c:ext>
            </c:extLst>
          </c:dLbls>
          <c:cat>
            <c:strRef>
              <c:f>categories</c:f>
              <c:strCache>
                <c:ptCount val="25"/>
                <c:pt idx="0">
                  <c:v>Peanuts</c:v>
                </c:pt>
                <c:pt idx="1">
                  <c:v>Banana</c:v>
                </c:pt>
                <c:pt idx="2">
                  <c:v>Oats</c:v>
                </c:pt>
                <c:pt idx="3">
                  <c:v>Bacon</c:v>
                </c:pt>
                <c:pt idx="4">
                  <c:v>Corn</c:v>
                </c:pt>
                <c:pt idx="5">
                  <c:v>Cod Liver Oil</c:v>
                </c:pt>
                <c:pt idx="6">
                  <c:v>Manioc</c:v>
                </c:pt>
                <c:pt idx="7">
                  <c:v>Sardine</c:v>
                </c:pt>
                <c:pt idx="8">
                  <c:v>Pineapple</c:v>
                </c:pt>
                <c:pt idx="9">
                  <c:v>Corn meal</c:v>
                </c:pt>
                <c:pt idx="10">
                  <c:v>Pumpkin</c:v>
                </c:pt>
                <c:pt idx="11">
                  <c:v>Seeds</c:v>
                </c:pt>
                <c:pt idx="12">
                  <c:v>Sweet potato</c:v>
                </c:pt>
                <c:pt idx="13">
                  <c:v>Brazilian nuts</c:v>
                </c:pt>
                <c:pt idx="14">
                  <c:v>Orange</c:v>
                </c:pt>
                <c:pt idx="15">
                  <c:v>Papaya</c:v>
                </c:pt>
                <c:pt idx="16">
                  <c:v>Vanilla</c:v>
                </c:pt>
                <c:pt idx="17">
                  <c:v>Meat</c:v>
                </c:pt>
                <c:pt idx="18">
                  <c:v>Honey</c:v>
                </c:pt>
                <c:pt idx="19">
                  <c:v>Sunflower oil</c:v>
                </c:pt>
                <c:pt idx="20">
                  <c:v>Ration</c:v>
                </c:pt>
                <c:pt idx="21">
                  <c:v>Cocoa</c:v>
                </c:pt>
                <c:pt idx="22">
                  <c:v>Coconut</c:v>
                </c:pt>
                <c:pt idx="23">
                  <c:v>Mango</c:v>
                </c:pt>
                <c:pt idx="24">
                  <c:v>Raisins</c:v>
                </c:pt>
              </c:strCache>
            </c:strRef>
          </c:cat>
          <c:val>
            <c:numRef>
              <c:f>0</c:f>
              <c:numCache>
                <c:formatCode>General</c:formatCode>
                <c:ptCount val="25"/>
                <c:pt idx="0">
                  <c:v>84</c:v>
                </c:pt>
                <c:pt idx="1">
                  <c:v>82</c:v>
                </c:pt>
                <c:pt idx="2">
                  <c:v>34</c:v>
                </c:pt>
                <c:pt idx="3">
                  <c:v>27</c:v>
                </c:pt>
                <c:pt idx="4">
                  <c:v>24</c:v>
                </c:pt>
                <c:pt idx="5">
                  <c:v>24</c:v>
                </c:pt>
                <c:pt idx="6">
                  <c:v>23</c:v>
                </c:pt>
                <c:pt idx="7">
                  <c:v>16</c:v>
                </c:pt>
                <c:pt idx="8">
                  <c:v>13</c:v>
                </c:pt>
                <c:pt idx="9">
                  <c:v>7</c:v>
                </c:pt>
                <c:pt idx="10">
                  <c:v>6</c:v>
                </c:pt>
                <c:pt idx="11">
                  <c:v>5</c:v>
                </c:pt>
                <c:pt idx="12">
                  <c:v>4</c:v>
                </c:pt>
                <c:pt idx="13">
                  <c:v>3</c:v>
                </c:pt>
                <c:pt idx="14">
                  <c:v>3</c:v>
                </c:pt>
                <c:pt idx="15">
                  <c:v>3</c:v>
                </c:pt>
                <c:pt idx="16">
                  <c:v>2</c:v>
                </c:pt>
                <c:pt idx="17">
                  <c:v>2</c:v>
                </c:pt>
                <c:pt idx="18">
                  <c:v>2</c:v>
                </c:pt>
                <c:pt idx="19">
                  <c:v>2</c:v>
                </c:pt>
                <c:pt idx="20">
                  <c:v>2</c:v>
                </c:pt>
                <c:pt idx="21">
                  <c:v>1</c:v>
                </c:pt>
                <c:pt idx="22">
                  <c:v>1</c:v>
                </c:pt>
                <c:pt idx="23">
                  <c:v>1</c:v>
                </c:pt>
                <c:pt idx="24">
                  <c:v>1</c:v>
                </c:pt>
              </c:numCache>
            </c:numRef>
          </c:val>
        </c:ser>
        <c:gapWidth val="150"/>
        <c:overlap val="0"/>
        <c:axId val="56338945"/>
        <c:axId val="81638"/>
      </c:barChart>
      <c:catAx>
        <c:axId val="56338945"/>
        <c:scaling>
          <c:orientation val="minMax"/>
        </c:scaling>
        <c:delete val="0"/>
        <c:axPos val="b"/>
        <c:numFmt formatCode="[$-1080409]gyy&quot;ral&quot;"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Calibri"/>
              </a:defRPr>
            </a:pPr>
          </a:p>
        </c:txPr>
        <c:crossAx val="81638"/>
        <c:crosses val="autoZero"/>
        <c:auto val="1"/>
        <c:lblAlgn val="ctr"/>
        <c:lblOffset val="100"/>
        <c:noMultiLvlLbl val="0"/>
      </c:catAx>
      <c:valAx>
        <c:axId val="81638"/>
        <c:scaling>
          <c:orientation val="minMax"/>
          <c:max val="110"/>
          <c:min val="0"/>
        </c:scaling>
        <c:delete val="0"/>
        <c:axPos val="l"/>
        <c:numFmt formatCode="General"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Calibri"/>
              </a:defRPr>
            </a:pPr>
          </a:p>
        </c:txPr>
        <c:crossAx val="56338945"/>
        <c:crosses val="autoZero"/>
        <c:crossBetween val="between"/>
      </c:valAx>
      <c:spPr>
        <a:noFill/>
        <a:ln w="0">
          <a:noFill/>
        </a:ln>
      </c:spPr>
    </c:plotArea>
    <c:plotVisOnly val="1"/>
    <c:dispBlanksAs val="gap"/>
  </c:chart>
  <c:spPr>
    <a:solidFill>
      <a:srgbClr val="ffffff"/>
    </a:solidFill>
    <a:ln w="9360">
      <a:noFill/>
    </a:ln>
  </c:spPr>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barChart>
        <c:barDir val="col"/>
        <c:grouping val="clustered"/>
        <c:varyColors val="0"/>
        <c:ser>
          <c:idx val="0"/>
          <c:order val="0"/>
          <c:tx>
            <c:strRef>
              <c:f>label 0</c:f>
              <c:strCache>
                <c:ptCount val="1"/>
                <c:pt idx="0">
                  <c:v>Série 1</c:v>
                </c:pt>
              </c:strCache>
            </c:strRef>
          </c:tx>
          <c:spPr>
            <a:gradFill>
              <a:gsLst>
                <a:gs pos="0">
                  <a:srgbClr val="767676"/>
                </a:gs>
                <a:gs pos="100000">
                  <a:srgbClr val="636363"/>
                </a:gs>
              </a:gsLst>
              <a:lin ang="5400000"/>
            </a:gradFill>
            <a:ln w="0">
              <a:noFill/>
            </a:ln>
          </c:spPr>
          <c:invertIfNegative val="0"/>
          <c:dLbls>
            <c:txPr>
              <a:bodyPr wrap="square"/>
              <a:lstStyle/>
              <a:p>
                <a:pPr>
                  <a:defRPr b="0" lang="pt-BR" sz="1000" spc="-1" strike="noStrike">
                    <a:solidFill>
                      <a:srgbClr val="000000"/>
                    </a:solidFill>
                    <a:latin typeface="Calibri"/>
                  </a:defRPr>
                </a:pPr>
              </a:p>
            </c:txPr>
            <c:dLblPos val="outEnd"/>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12"/>
                <c:pt idx="0">
                  <c:v>Banana</c:v>
                </c:pt>
                <c:pt idx="1">
                  <c:v>Peanut</c:v>
                </c:pt>
                <c:pt idx="2">
                  <c:v>Cod Liver Oil</c:v>
                </c:pt>
                <c:pt idx="3">
                  <c:v>Oats</c:v>
                </c:pt>
                <c:pt idx="4">
                  <c:v>Bacon</c:v>
                </c:pt>
                <c:pt idx="5">
                  <c:v>Pineapple</c:v>
                </c:pt>
                <c:pt idx="6">
                  <c:v>Pumpkin</c:v>
                </c:pt>
                <c:pt idx="7">
                  <c:v>Manioc</c:v>
                </c:pt>
                <c:pt idx="8">
                  <c:v>Vanilla</c:v>
                </c:pt>
                <c:pt idx="9">
                  <c:v>Sunflower oil</c:v>
                </c:pt>
                <c:pt idx="10">
                  <c:v>Corn</c:v>
                </c:pt>
                <c:pt idx="11">
                  <c:v>Honey</c:v>
                </c:pt>
              </c:strCache>
            </c:strRef>
          </c:cat>
          <c:val>
            <c:numRef>
              <c:f>0</c:f>
              <c:numCache>
                <c:formatCode>General</c:formatCode>
                <c:ptCount val="12"/>
                <c:pt idx="0">
                  <c:v>13</c:v>
                </c:pt>
                <c:pt idx="1">
                  <c:v>8</c:v>
                </c:pt>
                <c:pt idx="2">
                  <c:v>8</c:v>
                </c:pt>
                <c:pt idx="3">
                  <c:v>7</c:v>
                </c:pt>
                <c:pt idx="4">
                  <c:v>4</c:v>
                </c:pt>
                <c:pt idx="5">
                  <c:v>2</c:v>
                </c:pt>
                <c:pt idx="6">
                  <c:v>1</c:v>
                </c:pt>
                <c:pt idx="7">
                  <c:v>1</c:v>
                </c:pt>
                <c:pt idx="8">
                  <c:v>1</c:v>
                </c:pt>
                <c:pt idx="9">
                  <c:v>1</c:v>
                </c:pt>
                <c:pt idx="10">
                  <c:v>1</c:v>
                </c:pt>
                <c:pt idx="11">
                  <c:v>1</c:v>
                </c:pt>
              </c:numCache>
            </c:numRef>
          </c:val>
        </c:ser>
        <c:gapWidth val="150"/>
        <c:overlap val="0"/>
        <c:axId val="60509476"/>
        <c:axId val="34229522"/>
      </c:barChart>
      <c:catAx>
        <c:axId val="60509476"/>
        <c:scaling>
          <c:orientation val="minMax"/>
        </c:scaling>
        <c:delete val="0"/>
        <c:axPos val="b"/>
        <c:numFmt formatCode="[$-1080409]gyy&quot;ral&quot;" sourceLinked="0"/>
        <c:majorTickMark val="out"/>
        <c:minorTickMark val="none"/>
        <c:tickLblPos val="nextTo"/>
        <c:spPr>
          <a:ln w="6480">
            <a:solidFill>
              <a:srgbClr val="8b8b8b"/>
            </a:solidFill>
            <a:round/>
          </a:ln>
        </c:spPr>
        <c:txPr>
          <a:bodyPr rot="-5400000"/>
          <a:lstStyle/>
          <a:p>
            <a:pPr>
              <a:defRPr b="0" lang="pt-BR" sz="900" spc="-1" strike="noStrike">
                <a:solidFill>
                  <a:srgbClr val="000000"/>
                </a:solidFill>
                <a:latin typeface="Times New Roman"/>
              </a:defRPr>
            </a:pPr>
          </a:p>
        </c:txPr>
        <c:crossAx val="34229522"/>
        <c:crosses val="autoZero"/>
        <c:auto val="1"/>
        <c:lblAlgn val="ctr"/>
        <c:lblOffset val="100"/>
        <c:noMultiLvlLbl val="0"/>
      </c:catAx>
      <c:valAx>
        <c:axId val="34229522"/>
        <c:scaling>
          <c:orientation val="minMax"/>
          <c:max val="15"/>
          <c:min val="0"/>
        </c:scaling>
        <c:delete val="0"/>
        <c:axPos val="l"/>
        <c:numFmt formatCode="General" sourceLinked="0"/>
        <c:majorTickMark val="out"/>
        <c:minorTickMark val="none"/>
        <c:tickLblPos val="nextTo"/>
        <c:spPr>
          <a:ln w="6480">
            <a:solidFill>
              <a:srgbClr val="8b8b8b"/>
            </a:solidFill>
            <a:round/>
          </a:ln>
        </c:spPr>
        <c:txPr>
          <a:bodyPr/>
          <a:lstStyle/>
          <a:p>
            <a:pPr>
              <a:defRPr b="0" lang="pt-BR" sz="1000" spc="-1" strike="noStrike">
                <a:solidFill>
                  <a:srgbClr val="000000"/>
                </a:solidFill>
                <a:latin typeface="Times New Roman"/>
              </a:defRPr>
            </a:pPr>
          </a:p>
        </c:txPr>
        <c:crossAx val="60509476"/>
        <c:crosses val="autoZero"/>
        <c:crossBetween val="between"/>
        <c:majorUnit val="3"/>
      </c:valAx>
      <c:spPr>
        <a:noFill/>
        <a:ln w="0">
          <a:noFill/>
        </a:ln>
      </c:spPr>
    </c:plotArea>
    <c:plotVisOnly val="1"/>
    <c:dispBlanksAs val="gap"/>
  </c:chart>
  <c:spPr>
    <a:solidFill>
      <a:srgbClr val="ffffff"/>
    </a:solidFill>
    <a:ln w="9360">
      <a:noFill/>
    </a:ln>
  </c:spPr>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B72B7-DB3A-4203-8F28-A5332683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LibreOffice/7.3.6.2$Linux_X86_64 LibreOffice_project/30$Build-2</Application>
  <AppVersion>15.0000</AppVersion>
  <Pages>4</Pages>
  <Words>554</Words>
  <Characters>2666</Characters>
  <CharactersWithSpaces>3044</CharactersWithSpaces>
  <Paragraphs>188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2022-06-04T18:15:00Z</dcterms:created>
  <dc:creator/>
  <dc:description/>
  <dc:language>en-US</dc:language>
  <cp:lastModifiedBy>Editor</cp:lastModifiedBy>
  <dcterms:modified xsi:type="dcterms:W3CDTF">2022-10-07T09:15:05Z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