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718FA" w14:textId="13FA8F97" w:rsidR="00B62AF4" w:rsidRDefault="00577AF8">
      <w:pPr>
        <w:rPr>
          <w:rFonts w:ascii="Times New Roman" w:hAnsi="Times New Roman" w:cs="Times New Roman"/>
          <w:noProof/>
        </w:rPr>
      </w:pPr>
      <w:r>
        <w:rPr>
          <w:rFonts w:ascii="Times New Roman" w:hAnsi="Times New Roman" w:cs="Times New Roman"/>
          <w:noProof/>
        </w:rPr>
        <w:drawing>
          <wp:anchor distT="0" distB="0" distL="114300" distR="114300" simplePos="0" relativeHeight="251661312" behindDoc="0" locked="0" layoutInCell="1" allowOverlap="1" wp14:anchorId="0E6361DC" wp14:editId="696A6568">
            <wp:simplePos x="0" y="0"/>
            <wp:positionH relativeFrom="column">
              <wp:posOffset>-1080135</wp:posOffset>
            </wp:positionH>
            <wp:positionV relativeFrom="page">
              <wp:posOffset>-209550</wp:posOffset>
            </wp:positionV>
            <wp:extent cx="7575550" cy="10970612"/>
            <wp:effectExtent l="0" t="0" r="6350" b="254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VISTA DE ESTUDOS ANARQUISTAS E DECOLONIAIS.jpg"/>
                    <pic:cNvPicPr/>
                  </pic:nvPicPr>
                  <pic:blipFill>
                    <a:blip r:embed="rId8">
                      <a:extLst>
                        <a:ext uri="{28A0092B-C50C-407E-A947-70E740481C1C}">
                          <a14:useLocalDpi xmlns:a14="http://schemas.microsoft.com/office/drawing/2010/main" val="0"/>
                        </a:ext>
                      </a:extLst>
                    </a:blip>
                    <a:stretch>
                      <a:fillRect/>
                    </a:stretch>
                  </pic:blipFill>
                  <pic:spPr>
                    <a:xfrm>
                      <a:off x="0" y="0"/>
                      <a:ext cx="7592330" cy="10994913"/>
                    </a:xfrm>
                    <a:prstGeom prst="rect">
                      <a:avLst/>
                    </a:prstGeom>
                  </pic:spPr>
                </pic:pic>
              </a:graphicData>
            </a:graphic>
            <wp14:sizeRelH relativeFrom="margin">
              <wp14:pctWidth>0</wp14:pctWidth>
            </wp14:sizeRelH>
            <wp14:sizeRelV relativeFrom="margin">
              <wp14:pctHeight>0</wp14:pctHeight>
            </wp14:sizeRelV>
          </wp:anchor>
        </w:drawing>
      </w:r>
    </w:p>
    <w:p w14:paraId="51B5295C" w14:textId="1307ACBA" w:rsidR="00577AF8" w:rsidRDefault="00577AF8">
      <w:pPr>
        <w:rPr>
          <w:rFonts w:ascii="Times New Roman" w:hAnsi="Times New Roman" w:cs="Times New Roman"/>
        </w:rPr>
      </w:pPr>
    </w:p>
    <w:p w14:paraId="287A2633" w14:textId="71184911" w:rsidR="00577AF8" w:rsidRDefault="00577AF8">
      <w:pPr>
        <w:rPr>
          <w:rFonts w:ascii="Times New Roman" w:hAnsi="Times New Roman" w:cs="Times New Roman"/>
        </w:rPr>
      </w:pPr>
    </w:p>
    <w:p w14:paraId="4BB80983" w14:textId="6E51B5A3" w:rsidR="00577AF8" w:rsidRDefault="00577AF8">
      <w:pPr>
        <w:rPr>
          <w:rFonts w:ascii="Times New Roman" w:hAnsi="Times New Roman" w:cs="Times New Roman"/>
        </w:rPr>
      </w:pPr>
    </w:p>
    <w:p w14:paraId="4FB22041" w14:textId="7F8C4922" w:rsidR="00577AF8" w:rsidRDefault="00577AF8">
      <w:pPr>
        <w:rPr>
          <w:rFonts w:ascii="Times New Roman" w:hAnsi="Times New Roman" w:cs="Times New Roman"/>
        </w:rPr>
      </w:pPr>
    </w:p>
    <w:p w14:paraId="43DE904B" w14:textId="4C52594C" w:rsidR="00577AF8" w:rsidRDefault="00577AF8">
      <w:pPr>
        <w:rPr>
          <w:rFonts w:ascii="Times New Roman" w:hAnsi="Times New Roman" w:cs="Times New Roman"/>
        </w:rPr>
      </w:pPr>
    </w:p>
    <w:p w14:paraId="0E38A077" w14:textId="2D709F44" w:rsidR="00577AF8" w:rsidRDefault="00577AF8">
      <w:pPr>
        <w:rPr>
          <w:rFonts w:ascii="Times New Roman" w:hAnsi="Times New Roman" w:cs="Times New Roman"/>
        </w:rPr>
      </w:pPr>
    </w:p>
    <w:p w14:paraId="549AC9B8" w14:textId="513985C3" w:rsidR="00577AF8" w:rsidRDefault="00577AF8">
      <w:pPr>
        <w:rPr>
          <w:rFonts w:ascii="Times New Roman" w:hAnsi="Times New Roman" w:cs="Times New Roman"/>
        </w:rPr>
      </w:pPr>
    </w:p>
    <w:p w14:paraId="26CD7597" w14:textId="3324DCFA" w:rsidR="00577AF8" w:rsidRDefault="00577AF8">
      <w:pPr>
        <w:rPr>
          <w:rFonts w:ascii="Times New Roman" w:hAnsi="Times New Roman" w:cs="Times New Roman"/>
        </w:rPr>
      </w:pPr>
    </w:p>
    <w:p w14:paraId="283E225C" w14:textId="72B8FE75" w:rsidR="00577AF8" w:rsidRDefault="00577AF8">
      <w:pPr>
        <w:rPr>
          <w:rFonts w:ascii="Times New Roman" w:hAnsi="Times New Roman" w:cs="Times New Roman"/>
        </w:rPr>
      </w:pPr>
    </w:p>
    <w:p w14:paraId="3E06C2F1" w14:textId="24717BE2" w:rsidR="00577AF8" w:rsidRDefault="00577AF8">
      <w:pPr>
        <w:rPr>
          <w:rFonts w:ascii="Times New Roman" w:hAnsi="Times New Roman" w:cs="Times New Roman"/>
        </w:rPr>
      </w:pPr>
    </w:p>
    <w:p w14:paraId="30AA48E5" w14:textId="0FBB5116" w:rsidR="00577AF8" w:rsidRDefault="00577AF8">
      <w:pPr>
        <w:rPr>
          <w:rFonts w:ascii="Times New Roman" w:hAnsi="Times New Roman" w:cs="Times New Roman"/>
        </w:rPr>
      </w:pPr>
    </w:p>
    <w:p w14:paraId="20226EF1" w14:textId="6406E4FF" w:rsidR="00577AF8" w:rsidRDefault="00577AF8">
      <w:pPr>
        <w:rPr>
          <w:rFonts w:ascii="Times New Roman" w:hAnsi="Times New Roman" w:cs="Times New Roman"/>
        </w:rPr>
      </w:pPr>
    </w:p>
    <w:p w14:paraId="778BF57B" w14:textId="4F5570A2" w:rsidR="00577AF8" w:rsidRDefault="00577AF8">
      <w:pPr>
        <w:rPr>
          <w:rFonts w:ascii="Times New Roman" w:hAnsi="Times New Roman" w:cs="Times New Roman"/>
        </w:rPr>
      </w:pPr>
    </w:p>
    <w:p w14:paraId="1BCEE7EC" w14:textId="6BA3FFE1" w:rsidR="00577AF8" w:rsidRDefault="00577AF8">
      <w:pPr>
        <w:rPr>
          <w:rFonts w:ascii="Times New Roman" w:hAnsi="Times New Roman" w:cs="Times New Roman"/>
        </w:rPr>
      </w:pPr>
    </w:p>
    <w:p w14:paraId="0D9C4EF5" w14:textId="408DB5FD" w:rsidR="00577AF8" w:rsidRDefault="00577AF8">
      <w:pPr>
        <w:rPr>
          <w:rFonts w:ascii="Times New Roman" w:hAnsi="Times New Roman" w:cs="Times New Roman"/>
        </w:rPr>
      </w:pPr>
    </w:p>
    <w:p w14:paraId="178B9277" w14:textId="607E93C1" w:rsidR="00577AF8" w:rsidRDefault="00577AF8">
      <w:pPr>
        <w:rPr>
          <w:rFonts w:ascii="Times New Roman" w:hAnsi="Times New Roman" w:cs="Times New Roman"/>
        </w:rPr>
      </w:pPr>
    </w:p>
    <w:p w14:paraId="72F7399D" w14:textId="116A2876" w:rsidR="00577AF8" w:rsidRDefault="00577AF8">
      <w:pPr>
        <w:rPr>
          <w:rFonts w:ascii="Times New Roman" w:hAnsi="Times New Roman" w:cs="Times New Roman"/>
        </w:rPr>
      </w:pPr>
    </w:p>
    <w:p w14:paraId="309EE40D" w14:textId="5A9F8E81" w:rsidR="00577AF8" w:rsidRDefault="00577AF8">
      <w:pPr>
        <w:rPr>
          <w:rFonts w:ascii="Times New Roman" w:hAnsi="Times New Roman" w:cs="Times New Roman"/>
        </w:rPr>
      </w:pPr>
    </w:p>
    <w:p w14:paraId="362AC527" w14:textId="21DA3E4A" w:rsidR="00577AF8" w:rsidRDefault="00577AF8">
      <w:pPr>
        <w:rPr>
          <w:rFonts w:ascii="Times New Roman" w:hAnsi="Times New Roman" w:cs="Times New Roman"/>
        </w:rPr>
      </w:pPr>
    </w:p>
    <w:p w14:paraId="4C945D8C" w14:textId="72D59454" w:rsidR="00577AF8" w:rsidRDefault="00577AF8">
      <w:pPr>
        <w:rPr>
          <w:rFonts w:ascii="Times New Roman" w:hAnsi="Times New Roman" w:cs="Times New Roman"/>
        </w:rPr>
      </w:pPr>
    </w:p>
    <w:p w14:paraId="06A85DDE" w14:textId="0425D12A" w:rsidR="00577AF8" w:rsidRDefault="00577AF8">
      <w:pPr>
        <w:rPr>
          <w:rFonts w:ascii="Times New Roman" w:hAnsi="Times New Roman" w:cs="Times New Roman"/>
        </w:rPr>
      </w:pPr>
    </w:p>
    <w:p w14:paraId="39D5DE9F" w14:textId="5CCA5399" w:rsidR="00577AF8" w:rsidRDefault="00577AF8">
      <w:pPr>
        <w:rPr>
          <w:rFonts w:ascii="Times New Roman" w:hAnsi="Times New Roman" w:cs="Times New Roman"/>
        </w:rPr>
      </w:pPr>
    </w:p>
    <w:p w14:paraId="58F60C9E" w14:textId="724EE2C9" w:rsidR="00577AF8" w:rsidRDefault="00577AF8">
      <w:pPr>
        <w:rPr>
          <w:rFonts w:ascii="Times New Roman" w:hAnsi="Times New Roman" w:cs="Times New Roman"/>
        </w:rPr>
      </w:pPr>
    </w:p>
    <w:p w14:paraId="575F2D9B" w14:textId="7965856C" w:rsidR="00577AF8" w:rsidRDefault="00577AF8">
      <w:pPr>
        <w:rPr>
          <w:rFonts w:ascii="Times New Roman" w:hAnsi="Times New Roman" w:cs="Times New Roman"/>
        </w:rPr>
      </w:pPr>
    </w:p>
    <w:p w14:paraId="46BC7293" w14:textId="4684526F" w:rsidR="00577AF8" w:rsidRDefault="00577AF8">
      <w:pPr>
        <w:rPr>
          <w:rFonts w:ascii="Times New Roman" w:hAnsi="Times New Roman" w:cs="Times New Roman"/>
        </w:rPr>
      </w:pPr>
    </w:p>
    <w:p w14:paraId="5D5B4EC7" w14:textId="12EA1C0F" w:rsidR="00577AF8" w:rsidRDefault="00577AF8">
      <w:pPr>
        <w:rPr>
          <w:rFonts w:ascii="Times New Roman" w:hAnsi="Times New Roman" w:cs="Times New Roman"/>
        </w:rPr>
      </w:pPr>
    </w:p>
    <w:p w14:paraId="3A433747" w14:textId="3FAC71BD" w:rsidR="00577AF8" w:rsidRDefault="00577AF8">
      <w:pPr>
        <w:rPr>
          <w:rFonts w:ascii="Times New Roman" w:hAnsi="Times New Roman" w:cs="Times New Roman"/>
        </w:rPr>
      </w:pPr>
    </w:p>
    <w:p w14:paraId="55943C6C" w14:textId="32DED021" w:rsidR="00577AF8" w:rsidRDefault="00577AF8">
      <w:pPr>
        <w:rPr>
          <w:rFonts w:ascii="Times New Roman" w:hAnsi="Times New Roman" w:cs="Times New Roman"/>
        </w:rPr>
      </w:pPr>
    </w:p>
    <w:p w14:paraId="28E3541D" w14:textId="77777777" w:rsidR="00577AF8" w:rsidRPr="009E3A67" w:rsidRDefault="00577AF8">
      <w:pPr>
        <w:rPr>
          <w:rFonts w:ascii="Times New Roman" w:hAnsi="Times New Roman" w:cs="Times New Roman"/>
        </w:rPr>
      </w:pPr>
    </w:p>
    <w:p w14:paraId="597188DA" w14:textId="57C47476" w:rsidR="00B62AF4" w:rsidRPr="009E3A67" w:rsidRDefault="00B62AF4" w:rsidP="00B62AF4">
      <w:pPr>
        <w:shd w:val="clear" w:color="auto" w:fill="FFFFFF"/>
        <w:spacing w:line="276" w:lineRule="auto"/>
        <w:jc w:val="center"/>
        <w:rPr>
          <w:rFonts w:ascii="Times New Roman" w:eastAsia="Times New Roman" w:hAnsi="Times New Roman" w:cs="Times New Roman"/>
          <w:b/>
          <w:sz w:val="50"/>
          <w:szCs w:val="50"/>
        </w:rPr>
      </w:pPr>
      <w:r w:rsidRPr="009E3A67">
        <w:rPr>
          <w:rFonts w:ascii="Times New Roman" w:eastAsia="Times New Roman" w:hAnsi="Times New Roman" w:cs="Times New Roman"/>
          <w:b/>
          <w:sz w:val="50"/>
          <w:szCs w:val="50"/>
        </w:rPr>
        <w:lastRenderedPageBreak/>
        <w:t>EQUIPE EDITORIAL</w:t>
      </w:r>
    </w:p>
    <w:p w14:paraId="739C004A" w14:textId="77777777" w:rsidR="00B62AF4" w:rsidRPr="009E3A67" w:rsidRDefault="00B62AF4" w:rsidP="00B62AF4">
      <w:pPr>
        <w:shd w:val="clear" w:color="auto" w:fill="FFFFFF"/>
        <w:spacing w:line="276" w:lineRule="auto"/>
        <w:jc w:val="right"/>
        <w:rPr>
          <w:rFonts w:ascii="Times New Roman" w:eastAsia="Times New Roman" w:hAnsi="Times New Roman" w:cs="Times New Roman"/>
          <w:b/>
          <w:sz w:val="30"/>
          <w:szCs w:val="30"/>
        </w:rPr>
      </w:pPr>
    </w:p>
    <w:p w14:paraId="42C402B4" w14:textId="2F2B9173" w:rsidR="00B62AF4" w:rsidRPr="009E3A67" w:rsidRDefault="00B62AF4" w:rsidP="00B62AF4">
      <w:pPr>
        <w:shd w:val="clear" w:color="auto" w:fill="FFFFFF"/>
        <w:spacing w:line="276" w:lineRule="auto"/>
        <w:jc w:val="right"/>
        <w:rPr>
          <w:rFonts w:ascii="Times New Roman" w:eastAsia="Times New Roman" w:hAnsi="Times New Roman" w:cs="Times New Roman"/>
          <w:b/>
          <w:sz w:val="30"/>
          <w:szCs w:val="30"/>
        </w:rPr>
      </w:pPr>
      <w:r w:rsidRPr="009E3A67">
        <w:rPr>
          <w:rFonts w:ascii="Times New Roman" w:eastAsia="Times New Roman" w:hAnsi="Times New Roman" w:cs="Times New Roman"/>
          <w:b/>
          <w:sz w:val="30"/>
          <w:szCs w:val="30"/>
        </w:rPr>
        <w:t xml:space="preserve">Editor Geral </w:t>
      </w:r>
    </w:p>
    <w:p w14:paraId="74A89BEA" w14:textId="77777777" w:rsidR="00B62AF4" w:rsidRPr="009E3A67" w:rsidRDefault="00B62AF4" w:rsidP="00B62AF4">
      <w:pPr>
        <w:shd w:val="clear" w:color="auto" w:fill="FFFFFF"/>
        <w:spacing w:line="276" w:lineRule="auto"/>
        <w:rPr>
          <w:rFonts w:ascii="Times New Roman" w:eastAsia="Times New Roman" w:hAnsi="Times New Roman" w:cs="Times New Roman"/>
          <w:sz w:val="30"/>
          <w:szCs w:val="30"/>
        </w:rPr>
      </w:pPr>
    </w:p>
    <w:p w14:paraId="037248C3" w14:textId="77777777" w:rsidR="00B62AF4" w:rsidRPr="009E3A67" w:rsidRDefault="00B62AF4" w:rsidP="00B62AF4">
      <w:pPr>
        <w:shd w:val="clear" w:color="auto" w:fill="FFFFFF"/>
        <w:spacing w:line="276" w:lineRule="auto"/>
        <w:jc w:val="right"/>
        <w:rPr>
          <w:rFonts w:ascii="Times New Roman" w:eastAsia="Times New Roman" w:hAnsi="Times New Roman" w:cs="Times New Roman"/>
          <w:sz w:val="28"/>
          <w:szCs w:val="28"/>
        </w:rPr>
      </w:pPr>
      <w:r w:rsidRPr="009E3A67">
        <w:rPr>
          <w:rFonts w:ascii="Times New Roman" w:eastAsia="Times New Roman" w:hAnsi="Times New Roman" w:cs="Times New Roman"/>
          <w:sz w:val="28"/>
          <w:szCs w:val="28"/>
        </w:rPr>
        <w:t>Wallace dos Santos de Moraes</w:t>
      </w:r>
    </w:p>
    <w:p w14:paraId="525E11EB" w14:textId="77777777" w:rsidR="00B62AF4" w:rsidRPr="009E3A67" w:rsidRDefault="00B62AF4" w:rsidP="00B62AF4">
      <w:pPr>
        <w:shd w:val="clear" w:color="auto" w:fill="FFFFFF"/>
        <w:tabs>
          <w:tab w:val="left" w:pos="4815"/>
        </w:tabs>
        <w:spacing w:line="276" w:lineRule="auto"/>
        <w:jc w:val="both"/>
        <w:rPr>
          <w:rFonts w:ascii="Times New Roman" w:eastAsia="Times New Roman" w:hAnsi="Times New Roman" w:cs="Times New Roman"/>
          <w:sz w:val="25"/>
          <w:szCs w:val="25"/>
        </w:rPr>
      </w:pPr>
      <w:r w:rsidRPr="009E3A67">
        <w:rPr>
          <w:rFonts w:ascii="Times New Roman" w:eastAsia="Times New Roman" w:hAnsi="Times New Roman" w:cs="Times New Roman"/>
          <w:sz w:val="25"/>
          <w:szCs w:val="25"/>
        </w:rPr>
        <w:tab/>
      </w:r>
    </w:p>
    <w:p w14:paraId="7DE23D3C" w14:textId="77777777" w:rsidR="00B62AF4" w:rsidRPr="009E3A67" w:rsidRDefault="00B62AF4" w:rsidP="00B62AF4">
      <w:pPr>
        <w:shd w:val="clear" w:color="auto" w:fill="FFFFFF"/>
        <w:tabs>
          <w:tab w:val="left" w:pos="4815"/>
        </w:tabs>
        <w:spacing w:line="276" w:lineRule="auto"/>
        <w:ind w:left="2268"/>
        <w:jc w:val="both"/>
        <w:rPr>
          <w:rFonts w:ascii="Times New Roman" w:eastAsia="Times New Roman" w:hAnsi="Times New Roman" w:cs="Times New Roman"/>
          <w:sz w:val="24"/>
          <w:szCs w:val="24"/>
        </w:rPr>
      </w:pPr>
      <w:r w:rsidRPr="009E3A67">
        <w:rPr>
          <w:rFonts w:ascii="Times New Roman" w:eastAsia="Times New Roman" w:hAnsi="Times New Roman" w:cs="Times New Roman"/>
          <w:sz w:val="24"/>
          <w:szCs w:val="24"/>
        </w:rPr>
        <w:t>Diretor do NEABI/UFRJ. Prof. do Dpto de Ciência Política e dos Programas de Pós-Graduação em Filosofia (PPGF) e de História Comparada (PPGHC), todos da UFRJ. Pesquisador do INCT/PPED. Membro do Quilombo do IFCS/UFRJ e do Coletivo de Docentes Negras(os) da UFRJ. Líder do Coletivo de Pesquisas Quilombo da UFRJ e do Observatório do Trabalho na América Latina (OTAL/UFRJ).</w:t>
      </w:r>
    </w:p>
    <w:p w14:paraId="6B5410F8" w14:textId="77777777" w:rsidR="00B62AF4" w:rsidRPr="009E3A67" w:rsidRDefault="00B62AF4" w:rsidP="00B62AF4">
      <w:pPr>
        <w:shd w:val="clear" w:color="auto" w:fill="FFFFFF"/>
        <w:spacing w:line="276" w:lineRule="auto"/>
        <w:jc w:val="right"/>
        <w:rPr>
          <w:rFonts w:ascii="Times New Roman" w:eastAsia="Times New Roman" w:hAnsi="Times New Roman" w:cs="Times New Roman"/>
          <w:b/>
          <w:sz w:val="30"/>
          <w:szCs w:val="30"/>
        </w:rPr>
      </w:pPr>
    </w:p>
    <w:p w14:paraId="131BE2C6" w14:textId="6B46F1B9" w:rsidR="00B62AF4" w:rsidRPr="009E3A67" w:rsidRDefault="00B62AF4" w:rsidP="00B62AF4">
      <w:pPr>
        <w:shd w:val="clear" w:color="auto" w:fill="FFFFFF"/>
        <w:spacing w:line="276" w:lineRule="auto"/>
        <w:jc w:val="right"/>
        <w:rPr>
          <w:rFonts w:ascii="Times New Roman" w:eastAsia="Times New Roman" w:hAnsi="Times New Roman" w:cs="Times New Roman"/>
          <w:b/>
          <w:sz w:val="30"/>
          <w:szCs w:val="30"/>
        </w:rPr>
      </w:pPr>
      <w:r w:rsidRPr="009E3A67">
        <w:rPr>
          <w:rFonts w:ascii="Times New Roman" w:eastAsia="Times New Roman" w:hAnsi="Times New Roman" w:cs="Times New Roman"/>
          <w:b/>
          <w:sz w:val="30"/>
          <w:szCs w:val="30"/>
        </w:rPr>
        <w:t>Editora Adjunta:</w:t>
      </w:r>
    </w:p>
    <w:p w14:paraId="2FD76FF7" w14:textId="0EDB66BA" w:rsidR="00B62AF4" w:rsidRPr="009E3A67" w:rsidRDefault="00B62AF4" w:rsidP="00B62AF4">
      <w:pPr>
        <w:shd w:val="clear" w:color="auto" w:fill="FFFFFF"/>
        <w:spacing w:line="276" w:lineRule="auto"/>
        <w:rPr>
          <w:rFonts w:ascii="Times New Roman" w:eastAsia="Times New Roman" w:hAnsi="Times New Roman" w:cs="Times New Roman"/>
          <w:sz w:val="30"/>
          <w:szCs w:val="30"/>
        </w:rPr>
      </w:pPr>
    </w:p>
    <w:p w14:paraId="76EF2CBF" w14:textId="48CE1C02" w:rsidR="00B62AF4" w:rsidRPr="009E3A67" w:rsidRDefault="00B62AF4" w:rsidP="00B62AF4">
      <w:pPr>
        <w:shd w:val="clear" w:color="auto" w:fill="FFFFFF"/>
        <w:spacing w:line="276" w:lineRule="auto"/>
        <w:ind w:left="2835"/>
        <w:jc w:val="right"/>
        <w:rPr>
          <w:rFonts w:ascii="Times New Roman" w:eastAsia="Times New Roman" w:hAnsi="Times New Roman" w:cs="Times New Roman"/>
          <w:sz w:val="28"/>
          <w:szCs w:val="28"/>
        </w:rPr>
      </w:pPr>
      <w:r w:rsidRPr="009E3A67">
        <w:rPr>
          <w:rFonts w:ascii="Times New Roman" w:eastAsia="Times New Roman" w:hAnsi="Times New Roman" w:cs="Times New Roman"/>
          <w:sz w:val="28"/>
          <w:szCs w:val="28"/>
        </w:rPr>
        <w:t>Pamela Cristina de Gois</w:t>
      </w:r>
    </w:p>
    <w:p w14:paraId="5094894E" w14:textId="77777777" w:rsidR="00B62AF4" w:rsidRPr="009E3A67" w:rsidRDefault="00B62AF4" w:rsidP="00B62AF4">
      <w:pPr>
        <w:shd w:val="clear" w:color="auto" w:fill="FFFFFF"/>
        <w:spacing w:line="276" w:lineRule="auto"/>
        <w:ind w:left="2268"/>
        <w:jc w:val="both"/>
        <w:rPr>
          <w:rFonts w:ascii="Times New Roman" w:eastAsia="Times New Roman" w:hAnsi="Times New Roman" w:cs="Times New Roman"/>
          <w:sz w:val="24"/>
          <w:szCs w:val="24"/>
        </w:rPr>
      </w:pPr>
      <w:r w:rsidRPr="009E3A67">
        <w:rPr>
          <w:rFonts w:ascii="Times New Roman" w:eastAsia="Times New Roman" w:hAnsi="Times New Roman" w:cs="Times New Roman"/>
          <w:sz w:val="24"/>
          <w:szCs w:val="24"/>
        </w:rPr>
        <w:t>Doutorado pela UFRJ, mestrado pela UFOP, especialista em ética e política pela UEL, graduada em história e filosofia. Membra do Quilombo do IFCS(UFRJ) e do Coletivo de Pesquisas Observatório do Trabalho na América Latina (OTAL/UFRJ).</w:t>
      </w:r>
    </w:p>
    <w:p w14:paraId="6D646128" w14:textId="77777777" w:rsidR="00B62AF4" w:rsidRPr="009E3A67" w:rsidRDefault="00B62AF4" w:rsidP="00B62AF4">
      <w:pPr>
        <w:shd w:val="clear" w:color="auto" w:fill="FFFFFF"/>
        <w:spacing w:line="276" w:lineRule="auto"/>
        <w:ind w:left="2268"/>
        <w:jc w:val="both"/>
        <w:rPr>
          <w:rFonts w:ascii="Times New Roman" w:eastAsia="Times New Roman" w:hAnsi="Times New Roman" w:cs="Times New Roman"/>
          <w:sz w:val="24"/>
          <w:szCs w:val="24"/>
        </w:rPr>
      </w:pPr>
    </w:p>
    <w:p w14:paraId="3EF023FB" w14:textId="77777777" w:rsidR="00B62AF4" w:rsidRPr="009E3A67" w:rsidRDefault="00B62AF4" w:rsidP="00B62AF4">
      <w:pPr>
        <w:shd w:val="clear" w:color="auto" w:fill="FFFFFF"/>
        <w:spacing w:line="276" w:lineRule="auto"/>
        <w:jc w:val="right"/>
        <w:rPr>
          <w:rFonts w:ascii="Times New Roman" w:eastAsia="Times New Roman" w:hAnsi="Times New Roman" w:cs="Times New Roman"/>
          <w:b/>
          <w:sz w:val="30"/>
          <w:szCs w:val="30"/>
        </w:rPr>
      </w:pPr>
      <w:r w:rsidRPr="009E3A67">
        <w:rPr>
          <w:rFonts w:ascii="Times New Roman" w:eastAsia="Times New Roman" w:hAnsi="Times New Roman" w:cs="Times New Roman"/>
          <w:b/>
          <w:sz w:val="30"/>
          <w:szCs w:val="30"/>
        </w:rPr>
        <w:t xml:space="preserve">Editora Assistente </w:t>
      </w:r>
    </w:p>
    <w:p w14:paraId="1DA1361E" w14:textId="3D55B074" w:rsidR="00B62AF4" w:rsidRPr="009E3A67" w:rsidRDefault="00B62AF4" w:rsidP="00B62AF4">
      <w:pPr>
        <w:shd w:val="clear" w:color="auto" w:fill="FFFFFF"/>
        <w:spacing w:after="240" w:line="276" w:lineRule="auto"/>
        <w:jc w:val="right"/>
        <w:rPr>
          <w:rFonts w:ascii="Times New Roman" w:eastAsia="Times New Roman" w:hAnsi="Times New Roman" w:cs="Times New Roman"/>
          <w:sz w:val="28"/>
          <w:szCs w:val="28"/>
        </w:rPr>
      </w:pPr>
    </w:p>
    <w:p w14:paraId="4CA5DFE2" w14:textId="77777777" w:rsidR="00B62AF4" w:rsidRPr="009E3A67" w:rsidRDefault="00B62AF4" w:rsidP="00B62AF4">
      <w:pPr>
        <w:shd w:val="clear" w:color="auto" w:fill="FFFFFF"/>
        <w:spacing w:after="240" w:line="276" w:lineRule="auto"/>
        <w:jc w:val="right"/>
        <w:rPr>
          <w:rFonts w:ascii="Times New Roman" w:eastAsia="Times New Roman" w:hAnsi="Times New Roman" w:cs="Times New Roman"/>
          <w:sz w:val="28"/>
          <w:szCs w:val="28"/>
        </w:rPr>
      </w:pPr>
      <w:r w:rsidRPr="009E3A67">
        <w:rPr>
          <w:rFonts w:ascii="Times New Roman" w:eastAsia="Times New Roman" w:hAnsi="Times New Roman" w:cs="Times New Roman"/>
          <w:sz w:val="28"/>
          <w:szCs w:val="28"/>
        </w:rPr>
        <w:t>Ana Carolina dos Santos da Silva</w:t>
      </w:r>
    </w:p>
    <w:p w14:paraId="128AC9C8" w14:textId="77777777" w:rsidR="00B62AF4" w:rsidRPr="009E3A67" w:rsidRDefault="00B62AF4" w:rsidP="00B62AF4">
      <w:pPr>
        <w:shd w:val="clear" w:color="auto" w:fill="FFFFFF"/>
        <w:spacing w:after="240" w:line="276" w:lineRule="auto"/>
        <w:ind w:left="2268"/>
        <w:jc w:val="both"/>
        <w:rPr>
          <w:rFonts w:ascii="Times New Roman" w:eastAsia="Times New Roman" w:hAnsi="Times New Roman" w:cs="Times New Roman"/>
          <w:sz w:val="24"/>
          <w:szCs w:val="24"/>
        </w:rPr>
      </w:pPr>
      <w:r w:rsidRPr="009E3A67">
        <w:rPr>
          <w:rFonts w:ascii="Times New Roman" w:eastAsia="Times New Roman" w:hAnsi="Times New Roman" w:cs="Times New Roman"/>
          <w:sz w:val="24"/>
          <w:szCs w:val="24"/>
        </w:rPr>
        <w:t>Graduanda de Bacharel em Enfermagem pela UFRJ. Membra do Coletivo de Pesquisas Quilombo da UFRJ e do Quilombo do IFCS(UFRJ).</w:t>
      </w:r>
    </w:p>
    <w:p w14:paraId="716BA79D" w14:textId="20470ABC" w:rsidR="00B62AF4" w:rsidRPr="009E3A67" w:rsidRDefault="0089436B" w:rsidP="00B62AF4">
      <w:pPr>
        <w:tabs>
          <w:tab w:val="left" w:pos="3630"/>
        </w:tabs>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0" locked="0" layoutInCell="1" allowOverlap="1" wp14:anchorId="6073A117" wp14:editId="537BD088">
            <wp:simplePos x="0" y="0"/>
            <wp:positionH relativeFrom="column">
              <wp:posOffset>-1285087</wp:posOffset>
            </wp:positionH>
            <wp:positionV relativeFrom="paragraph">
              <wp:posOffset>-1629081</wp:posOffset>
            </wp:positionV>
            <wp:extent cx="7755890" cy="10767668"/>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llow Bordered High School Book Report (2).jpg"/>
                    <pic:cNvPicPr/>
                  </pic:nvPicPr>
                  <pic:blipFill>
                    <a:blip r:embed="rId9">
                      <a:extLst>
                        <a:ext uri="{28A0092B-C50C-407E-A947-70E740481C1C}">
                          <a14:useLocalDpi xmlns:a14="http://schemas.microsoft.com/office/drawing/2010/main" val="0"/>
                        </a:ext>
                      </a:extLst>
                    </a:blip>
                    <a:stretch>
                      <a:fillRect/>
                    </a:stretch>
                  </pic:blipFill>
                  <pic:spPr>
                    <a:xfrm>
                      <a:off x="0" y="0"/>
                      <a:ext cx="7774117" cy="10792972"/>
                    </a:xfrm>
                    <a:prstGeom prst="rect">
                      <a:avLst/>
                    </a:prstGeom>
                  </pic:spPr>
                </pic:pic>
              </a:graphicData>
            </a:graphic>
            <wp14:sizeRelH relativeFrom="margin">
              <wp14:pctWidth>0</wp14:pctWidth>
            </wp14:sizeRelH>
            <wp14:sizeRelV relativeFrom="margin">
              <wp14:pctHeight>0</wp14:pctHeight>
            </wp14:sizeRelV>
          </wp:anchor>
        </w:drawing>
      </w:r>
    </w:p>
    <w:p w14:paraId="4A0A2773" w14:textId="19BFD90A" w:rsidR="00B62AF4" w:rsidRPr="009E3A67" w:rsidRDefault="00B62AF4" w:rsidP="00B62AF4">
      <w:pPr>
        <w:tabs>
          <w:tab w:val="left" w:pos="3630"/>
        </w:tabs>
        <w:rPr>
          <w:rFonts w:ascii="Times New Roman" w:hAnsi="Times New Roman" w:cs="Times New Roman"/>
        </w:rPr>
      </w:pPr>
    </w:p>
    <w:p w14:paraId="02983289" w14:textId="397BCCF2" w:rsidR="00B62AF4" w:rsidRPr="009E3A67" w:rsidRDefault="00B62AF4" w:rsidP="00B62AF4">
      <w:pPr>
        <w:tabs>
          <w:tab w:val="left" w:pos="3630"/>
        </w:tabs>
        <w:rPr>
          <w:rFonts w:ascii="Times New Roman" w:hAnsi="Times New Roman" w:cs="Times New Roman"/>
        </w:rPr>
      </w:pPr>
    </w:p>
    <w:p w14:paraId="78673152" w14:textId="1B163BDD" w:rsidR="0035031B" w:rsidRDefault="0035031B" w:rsidP="00A05829">
      <w:pPr>
        <w:tabs>
          <w:tab w:val="left" w:pos="3630"/>
        </w:tabs>
        <w:spacing w:line="360" w:lineRule="auto"/>
        <w:jc w:val="center"/>
        <w:rPr>
          <w:rFonts w:ascii="Times New Roman" w:hAnsi="Times New Roman" w:cs="Times New Roman"/>
          <w:b/>
          <w:bCs/>
          <w:sz w:val="28"/>
          <w:szCs w:val="28"/>
        </w:rPr>
      </w:pPr>
    </w:p>
    <w:p w14:paraId="7B81DEFB" w14:textId="4318D552" w:rsidR="0035031B" w:rsidRDefault="0035031B" w:rsidP="00A05829">
      <w:pPr>
        <w:tabs>
          <w:tab w:val="left" w:pos="3630"/>
        </w:tabs>
        <w:spacing w:line="360" w:lineRule="auto"/>
        <w:jc w:val="center"/>
        <w:rPr>
          <w:rFonts w:ascii="Times New Roman" w:hAnsi="Times New Roman" w:cs="Times New Roman"/>
          <w:b/>
          <w:bCs/>
          <w:sz w:val="28"/>
          <w:szCs w:val="28"/>
        </w:rPr>
      </w:pPr>
    </w:p>
    <w:p w14:paraId="7D730A38"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040388B5"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1E771C4E" w14:textId="76A93B22" w:rsidR="0035031B" w:rsidRDefault="0035031B" w:rsidP="00A05829">
      <w:pPr>
        <w:tabs>
          <w:tab w:val="left" w:pos="3630"/>
        </w:tabs>
        <w:spacing w:line="360" w:lineRule="auto"/>
        <w:jc w:val="center"/>
        <w:rPr>
          <w:rFonts w:ascii="Times New Roman" w:hAnsi="Times New Roman" w:cs="Times New Roman"/>
          <w:b/>
          <w:bCs/>
          <w:sz w:val="28"/>
          <w:szCs w:val="28"/>
        </w:rPr>
      </w:pPr>
    </w:p>
    <w:p w14:paraId="504CD759"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062E4F84" w14:textId="62C8FA4B" w:rsidR="0035031B" w:rsidRDefault="0035031B" w:rsidP="00A05829">
      <w:pPr>
        <w:tabs>
          <w:tab w:val="left" w:pos="3630"/>
        </w:tabs>
        <w:spacing w:line="360" w:lineRule="auto"/>
        <w:jc w:val="center"/>
        <w:rPr>
          <w:rFonts w:ascii="Times New Roman" w:hAnsi="Times New Roman" w:cs="Times New Roman"/>
          <w:b/>
          <w:bCs/>
          <w:sz w:val="28"/>
          <w:szCs w:val="28"/>
        </w:rPr>
      </w:pPr>
    </w:p>
    <w:p w14:paraId="420678B7"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15E802B3"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54701F17"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107DDF6E"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0DA127E9"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552FA465"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08B3661D"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58C27BAD"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448A2DF4"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39374F57"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7A1A9192" w14:textId="77777777" w:rsidR="0035031B" w:rsidRDefault="0035031B" w:rsidP="00A05829">
      <w:pPr>
        <w:tabs>
          <w:tab w:val="left" w:pos="3630"/>
        </w:tabs>
        <w:spacing w:line="360" w:lineRule="auto"/>
        <w:jc w:val="center"/>
        <w:rPr>
          <w:rFonts w:ascii="Times New Roman" w:hAnsi="Times New Roman" w:cs="Times New Roman"/>
          <w:b/>
          <w:bCs/>
          <w:sz w:val="28"/>
          <w:szCs w:val="28"/>
        </w:rPr>
      </w:pPr>
    </w:p>
    <w:p w14:paraId="6E5DDA29" w14:textId="19EB7CAC" w:rsidR="00B62AF4" w:rsidRPr="00F06A73" w:rsidRDefault="00B62AF4" w:rsidP="00A05829">
      <w:pPr>
        <w:tabs>
          <w:tab w:val="left" w:pos="3630"/>
        </w:tabs>
        <w:spacing w:line="360" w:lineRule="auto"/>
        <w:jc w:val="center"/>
        <w:rPr>
          <w:rFonts w:ascii="Times New Roman" w:hAnsi="Times New Roman" w:cs="Times New Roman"/>
          <w:b/>
          <w:bCs/>
          <w:sz w:val="24"/>
          <w:szCs w:val="24"/>
        </w:rPr>
      </w:pPr>
      <w:r w:rsidRPr="00F06A73">
        <w:rPr>
          <w:rFonts w:ascii="Times New Roman" w:hAnsi="Times New Roman" w:cs="Times New Roman"/>
          <w:b/>
          <w:bCs/>
          <w:sz w:val="24"/>
          <w:szCs w:val="24"/>
        </w:rPr>
        <w:t>Editorial</w:t>
      </w:r>
    </w:p>
    <w:p w14:paraId="7BAE421D" w14:textId="3C13EF21" w:rsidR="002A2BBA" w:rsidRPr="00F06A73" w:rsidRDefault="00FD4537" w:rsidP="002A2BBA">
      <w:pPr>
        <w:tabs>
          <w:tab w:val="left" w:pos="3630"/>
        </w:tabs>
        <w:spacing w:line="360" w:lineRule="auto"/>
        <w:ind w:firstLine="851"/>
        <w:jc w:val="center"/>
        <w:rPr>
          <w:rFonts w:ascii="Times New Roman" w:hAnsi="Times New Roman" w:cs="Times New Roman"/>
          <w:sz w:val="24"/>
          <w:szCs w:val="24"/>
        </w:rPr>
      </w:pPr>
      <w:r w:rsidRPr="00F06A73">
        <w:rPr>
          <w:rFonts w:ascii="Times New Roman" w:hAnsi="Times New Roman" w:cs="Times New Roman"/>
          <w:b/>
          <w:bCs/>
          <w:sz w:val="24"/>
          <w:szCs w:val="24"/>
        </w:rPr>
        <w:t>Nas</w:t>
      </w:r>
      <w:r w:rsidR="002A2BBA" w:rsidRPr="00F06A73">
        <w:rPr>
          <w:rFonts w:ascii="Times New Roman" w:hAnsi="Times New Roman" w:cs="Times New Roman"/>
          <w:b/>
          <w:bCs/>
          <w:sz w:val="24"/>
          <w:szCs w:val="24"/>
        </w:rPr>
        <w:t xml:space="preserve"> Margens do Sistema Opressor, Racista</w:t>
      </w:r>
      <w:r w:rsidRPr="00F06A73">
        <w:rPr>
          <w:rFonts w:ascii="Times New Roman" w:hAnsi="Times New Roman" w:cs="Times New Roman"/>
          <w:b/>
          <w:bCs/>
          <w:sz w:val="24"/>
          <w:szCs w:val="24"/>
        </w:rPr>
        <w:t>,</w:t>
      </w:r>
      <w:r w:rsidR="002A2BBA" w:rsidRPr="00F06A73">
        <w:rPr>
          <w:rFonts w:ascii="Times New Roman" w:hAnsi="Times New Roman" w:cs="Times New Roman"/>
          <w:b/>
          <w:bCs/>
          <w:sz w:val="24"/>
          <w:szCs w:val="24"/>
        </w:rPr>
        <w:t xml:space="preserve"> Sexista</w:t>
      </w:r>
      <w:r w:rsidRPr="00F06A73">
        <w:rPr>
          <w:rFonts w:ascii="Times New Roman" w:hAnsi="Times New Roman" w:cs="Times New Roman"/>
          <w:b/>
          <w:bCs/>
          <w:sz w:val="24"/>
          <w:szCs w:val="24"/>
        </w:rPr>
        <w:t>, Classista e Estadolátrico</w:t>
      </w:r>
    </w:p>
    <w:p w14:paraId="6CD4C252" w14:textId="115B53CA" w:rsidR="002B7D03" w:rsidRPr="002B7D03" w:rsidRDefault="002B7D03" w:rsidP="002B7D03">
      <w:pPr>
        <w:pStyle w:val="NormalWeb"/>
        <w:spacing w:before="0" w:beforeAutospacing="0" w:after="0" w:afterAutospacing="0" w:line="360" w:lineRule="auto"/>
        <w:ind w:firstLine="709"/>
        <w:jc w:val="both"/>
      </w:pPr>
      <w:r w:rsidRPr="002B7D03">
        <w:t xml:space="preserve">Iniciamos este editorial em meio ao refluxo de uma maré que, por um tempo, pareceu inescapável. A ascensão global de uma direita autoritária, </w:t>
      </w:r>
      <w:r>
        <w:t xml:space="preserve">militarista, igrejista e estadolátrica, </w:t>
      </w:r>
      <w:r w:rsidRPr="002B7D03">
        <w:t>cuja face mais espetacular talvez tenha sido a de Donald Trump, não representou uma anomalia, mas sim a condensação grotesca e transparente de lógicas imperialistas, coloniais e patriarcais que sempre estruturaram o Estado capitalista moderno. O seu governo foi a hipérbole de um projeto de dominação, e seu apoio explícito a figuras como Jair Bolsonaro no Brasil selou uma internacional do ressentimento, um eixo transnacional dedicado a aprofundar a guerra contra os povos, os corpos e os territórios dissidentes. Essa aliança não foi um mero acordo político, mas a sincronia de projetos necro</w:t>
      </w:r>
      <w:r>
        <w:t>fílicos colonialistas outrocidas</w:t>
      </w:r>
      <w:r w:rsidRPr="002B7D03">
        <w:t xml:space="preserve"> que se alimentam mutuamente do medo, da desinformação e da violência como método.</w:t>
      </w:r>
    </w:p>
    <w:p w14:paraId="4CE3992D" w14:textId="77777777" w:rsidR="002B7D03" w:rsidRDefault="002B7D03" w:rsidP="002B7D03">
      <w:pPr>
        <w:pStyle w:val="NormalWeb"/>
        <w:spacing w:before="0" w:beforeAutospacing="0" w:after="0" w:afterAutospacing="0" w:line="360" w:lineRule="auto"/>
        <w:ind w:firstLine="709"/>
        <w:jc w:val="both"/>
      </w:pPr>
      <w:r w:rsidRPr="002B7D03">
        <w:t xml:space="preserve">No cenário brasileiro, assistimos recentemente ao irônico espetáculo do Leviatã se voltando contra uma de suas criaturas mais ruidosas. A </w:t>
      </w:r>
      <w:r>
        <w:t>“</w:t>
      </w:r>
      <w:r w:rsidRPr="002B7D03">
        <w:t>casa caiu</w:t>
      </w:r>
      <w:r>
        <w:t>”</w:t>
      </w:r>
      <w:r w:rsidRPr="002B7D03">
        <w:t xml:space="preserve"> para o bolsonarismo nos tribunais superiores, num enredo que beiraria o cômico, não fosse trágico. Contudo, longe de celebrarmos as estruturas coercitivas do Estado ou acreditarmos em sua súbita conversão à justiça, uma perspectiva anarquista e decolonial nos obriga a analisar essa movimentação com ceticismo crítico. O que vemos não é o triunfo da democracia, mas a autoproteção de um sistema que percebeu um de seus agentes ameaçar o pacto de dominação da elite que ele próprio deveria servir. A repressão seletiva que hoje atinge um ex-presidente amanhã pode, como sempre, se voltar contra os movimentos sociais e todos que desafiam a ordem. </w:t>
      </w:r>
      <w:r>
        <w:t xml:space="preserve">Essa mesma ordem não deixa de atentar um segundo contra afro-pindorâmicos. </w:t>
      </w:r>
      <w:r w:rsidRPr="002B7D03">
        <w:t>A questão fundamental, portanto, permanece: como desmantelar as lógicas que produzem tanto os Bolsonaros quanto os sistemas que, eventualmente, os descartam para garantir a própria sobrevivência?</w:t>
      </w:r>
    </w:p>
    <w:p w14:paraId="47BA24E3" w14:textId="4F7D374E" w:rsidR="002B7D03" w:rsidRDefault="002B7D03" w:rsidP="002B7D03">
      <w:pPr>
        <w:pStyle w:val="NormalWeb"/>
        <w:spacing w:before="0" w:beforeAutospacing="0" w:after="0" w:afterAutospacing="0" w:line="360" w:lineRule="auto"/>
        <w:ind w:firstLine="709"/>
        <w:jc w:val="both"/>
      </w:pPr>
      <w:r>
        <w:t>Ao final, a lição que se impõe é a de que a derrota eleitoral ou judicial de um governante não significa a superação das lógicas que o produziram e o sustentaram. O fascismo, o colonialismo e o autoritarismo são espectros que assombram a estrutura do Estado e que encontram terreno fértil no imaginário social. Portanto, enquanto as instituições do poder continuarem a operar sua pedagogia da obediência, nosso trabalho de afiar as ferramentas críticas e cultivar práticas de liberdade radical se torna não apenas relevante, mas vital. Que os textos deste volume sirvam de inspiração e provocação para seguirmos na construção de outras políticas e, finalmente, outros mundos.</w:t>
      </w:r>
    </w:p>
    <w:p w14:paraId="788478C2" w14:textId="4BEE6CE4" w:rsidR="002B7D03" w:rsidRPr="002B7D03" w:rsidRDefault="002B7D03" w:rsidP="002B7D03">
      <w:pPr>
        <w:pStyle w:val="NormalWeb"/>
        <w:spacing w:before="0" w:beforeAutospacing="0" w:after="0" w:afterAutospacing="0" w:line="360" w:lineRule="auto"/>
        <w:ind w:firstLine="709"/>
        <w:jc w:val="both"/>
      </w:pPr>
      <w:r w:rsidRPr="002B7D03">
        <w:t xml:space="preserve">É precisamente na intersecção dessas críticas radicais — à dominação estatal e à colonialidade que a produz — que a </w:t>
      </w:r>
      <w:r w:rsidRPr="002B7D03">
        <w:rPr>
          <w:i/>
          <w:iCs/>
        </w:rPr>
        <w:t>Revista de Estudos Anarquistas e Decoloniais</w:t>
      </w:r>
      <w:r w:rsidRPr="002B7D03">
        <w:t xml:space="preserve"> busca situar sua contribuição. A análise desses fenômenos políticos não pode se restringir à superfície, devendo alcançar as raízes da produção de subjetividades dóceis e da legitimação da violência. Por isso, este volume se debruça sobre um campo estratégico: a Psicologia e suas interfaces com o pensamento libertário.</w:t>
      </w:r>
    </w:p>
    <w:p w14:paraId="672B4A32" w14:textId="79D91D41" w:rsidR="002A2BBA" w:rsidRPr="00F06A73" w:rsidRDefault="002B7D03" w:rsidP="002A2BBA">
      <w:pPr>
        <w:tabs>
          <w:tab w:val="left" w:pos="3630"/>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Destarte, a</w:t>
      </w:r>
      <w:r w:rsidR="002A2BBA" w:rsidRPr="00F06A73">
        <w:rPr>
          <w:rFonts w:ascii="Times New Roman" w:hAnsi="Times New Roman" w:cs="Times New Roman"/>
          <w:sz w:val="24"/>
          <w:szCs w:val="24"/>
        </w:rPr>
        <w:t xml:space="preserve"> presente edição da revista </w:t>
      </w:r>
      <w:r w:rsidR="002A2BBA" w:rsidRPr="00F06A73">
        <w:rPr>
          <w:rFonts w:ascii="Times New Roman" w:hAnsi="Times New Roman" w:cs="Times New Roman"/>
          <w:i/>
          <w:iCs/>
          <w:sz w:val="24"/>
          <w:szCs w:val="24"/>
        </w:rPr>
        <w:t>Estudos Anarquistas e Decoloniais</w:t>
      </w:r>
      <w:r w:rsidR="002A2BBA" w:rsidRPr="00F06A73">
        <w:rPr>
          <w:rFonts w:ascii="Times New Roman" w:hAnsi="Times New Roman" w:cs="Times New Roman"/>
          <w:sz w:val="24"/>
          <w:szCs w:val="24"/>
        </w:rPr>
        <w:t xml:space="preserve"> reúne um conjunto de reflexões críticas que articulam epistemologias insurgentes, práticas educativas de resistência e denúncias contundentes </w:t>
      </w:r>
      <w:r w:rsidR="00372F4A" w:rsidRPr="00F06A73">
        <w:rPr>
          <w:rFonts w:ascii="Times New Roman" w:hAnsi="Times New Roman" w:cs="Times New Roman"/>
          <w:sz w:val="24"/>
          <w:szCs w:val="24"/>
        </w:rPr>
        <w:t>contraestruturas</w:t>
      </w:r>
      <w:r w:rsidR="002A2BBA" w:rsidRPr="00F06A73">
        <w:rPr>
          <w:rFonts w:ascii="Times New Roman" w:hAnsi="Times New Roman" w:cs="Times New Roman"/>
          <w:sz w:val="24"/>
          <w:szCs w:val="24"/>
        </w:rPr>
        <w:t xml:space="preserve"> coloniais, racistas e sexistas </w:t>
      </w:r>
      <w:r w:rsidR="00FC37AA">
        <w:rPr>
          <w:rFonts w:ascii="Times New Roman" w:hAnsi="Times New Roman" w:cs="Times New Roman"/>
          <w:sz w:val="24"/>
          <w:szCs w:val="24"/>
        </w:rPr>
        <w:t xml:space="preserve">e Estadolátricas </w:t>
      </w:r>
      <w:r w:rsidR="002A2BBA" w:rsidRPr="00F06A73">
        <w:rPr>
          <w:rFonts w:ascii="Times New Roman" w:hAnsi="Times New Roman" w:cs="Times New Roman"/>
          <w:sz w:val="24"/>
          <w:szCs w:val="24"/>
        </w:rPr>
        <w:t xml:space="preserve">ainda vigentes. Os artigos aqui apresentados oferecem contribuições relevantes para os campos da </w:t>
      </w:r>
      <w:r w:rsidR="004A4984" w:rsidRPr="00F06A73">
        <w:rPr>
          <w:rFonts w:ascii="Times New Roman" w:hAnsi="Times New Roman" w:cs="Times New Roman"/>
          <w:sz w:val="24"/>
          <w:szCs w:val="24"/>
        </w:rPr>
        <w:t xml:space="preserve">psicologia, </w:t>
      </w:r>
      <w:r w:rsidR="002A2BBA" w:rsidRPr="00F06A73">
        <w:rPr>
          <w:rFonts w:ascii="Times New Roman" w:hAnsi="Times New Roman" w:cs="Times New Roman"/>
          <w:sz w:val="24"/>
          <w:szCs w:val="24"/>
        </w:rPr>
        <w:t xml:space="preserve">educação, política, cultura e direitos humanos, a partir de perspectivas decoloniais, </w:t>
      </w:r>
      <w:r w:rsidR="00FC37AA">
        <w:rPr>
          <w:rFonts w:ascii="Times New Roman" w:hAnsi="Times New Roman" w:cs="Times New Roman"/>
          <w:sz w:val="24"/>
          <w:szCs w:val="24"/>
        </w:rPr>
        <w:t xml:space="preserve">contra-coloniais e </w:t>
      </w:r>
      <w:r w:rsidR="002A2BBA" w:rsidRPr="00F06A73">
        <w:rPr>
          <w:rFonts w:ascii="Times New Roman" w:hAnsi="Times New Roman" w:cs="Times New Roman"/>
          <w:sz w:val="24"/>
          <w:szCs w:val="24"/>
        </w:rPr>
        <w:t>anarquistas.</w:t>
      </w:r>
      <w:r>
        <w:rPr>
          <w:rFonts w:ascii="Times New Roman" w:hAnsi="Times New Roman" w:cs="Times New Roman"/>
          <w:sz w:val="24"/>
          <w:szCs w:val="24"/>
        </w:rPr>
        <w:t xml:space="preserve"> Vamos a eles.</w:t>
      </w:r>
    </w:p>
    <w:p w14:paraId="02CA3D27" w14:textId="0409E70E" w:rsidR="002A2BBA" w:rsidRPr="00F06A73" w:rsidRDefault="002A2BBA" w:rsidP="002A2BBA">
      <w:pPr>
        <w:tabs>
          <w:tab w:val="left" w:pos="3630"/>
        </w:tabs>
        <w:spacing w:line="360" w:lineRule="auto"/>
        <w:ind w:firstLine="851"/>
        <w:jc w:val="both"/>
        <w:rPr>
          <w:rFonts w:ascii="Times New Roman" w:hAnsi="Times New Roman" w:cs="Times New Roman"/>
          <w:sz w:val="24"/>
          <w:szCs w:val="24"/>
        </w:rPr>
      </w:pPr>
      <w:r w:rsidRPr="00F06A73">
        <w:rPr>
          <w:rFonts w:ascii="Times New Roman" w:hAnsi="Times New Roman" w:cs="Times New Roman"/>
          <w:sz w:val="24"/>
          <w:szCs w:val="24"/>
        </w:rPr>
        <w:t>O artigo de abertura, intitulado</w:t>
      </w:r>
      <w:r w:rsidRPr="00F06A73">
        <w:rPr>
          <w:rFonts w:ascii="Times New Roman" w:hAnsi="Times New Roman" w:cs="Times New Roman"/>
          <w:i/>
          <w:iCs/>
          <w:sz w:val="24"/>
          <w:szCs w:val="24"/>
        </w:rPr>
        <w:t xml:space="preserve"> “Anarquismo da Subjetividade” de Saul Newman: A Subjetividade Pós-Anarquista</w:t>
      </w:r>
      <w:r w:rsidRPr="00F06A73">
        <w:rPr>
          <w:rFonts w:ascii="Times New Roman" w:hAnsi="Times New Roman" w:cs="Times New Roman"/>
          <w:sz w:val="24"/>
          <w:szCs w:val="24"/>
        </w:rPr>
        <w:t xml:space="preserve">, de autoria de </w:t>
      </w:r>
      <w:r w:rsidRPr="00F06A73">
        <w:rPr>
          <w:rFonts w:ascii="Times New Roman" w:hAnsi="Times New Roman" w:cs="Times New Roman"/>
          <w:b/>
          <w:bCs/>
          <w:sz w:val="24"/>
          <w:szCs w:val="24"/>
        </w:rPr>
        <w:t>Ricardo Mendes Mattos</w:t>
      </w:r>
      <w:r w:rsidRPr="00F06A73">
        <w:rPr>
          <w:rFonts w:ascii="Times New Roman" w:hAnsi="Times New Roman" w:cs="Times New Roman"/>
          <w:sz w:val="24"/>
          <w:szCs w:val="24"/>
        </w:rPr>
        <w:t xml:space="preserve">, </w:t>
      </w:r>
      <w:r w:rsidR="00AC77E6" w:rsidRPr="00F06A73">
        <w:rPr>
          <w:rFonts w:ascii="Times New Roman" w:hAnsi="Times New Roman" w:cs="Times New Roman"/>
          <w:sz w:val="24"/>
          <w:szCs w:val="24"/>
          <w:shd w:val="clear" w:color="auto" w:fill="FFFFFF"/>
        </w:rPr>
        <w:t xml:space="preserve">Doutor em Psicologia Social, </w:t>
      </w:r>
      <w:r w:rsidRPr="00F06A73">
        <w:rPr>
          <w:rFonts w:ascii="Times New Roman" w:hAnsi="Times New Roman" w:cs="Times New Roman"/>
          <w:sz w:val="24"/>
          <w:szCs w:val="24"/>
        </w:rPr>
        <w:t>propõe uma análise teórica sobre o conceito de subjetividade no pós-anarquismo. O autor critica a noção de subjetividade essencialista presente no anarquismo clássico e defende uma subjetividade insurreta, criativa e em constante reinvenção, articulada à ação coletiva e à ontologia anarquista. A Psicologia é apontada como campo fértil para aprofundar tais discussões.</w:t>
      </w:r>
    </w:p>
    <w:p w14:paraId="0E7A501D" w14:textId="3FB85936" w:rsidR="00077EC6" w:rsidRPr="00077EC6" w:rsidRDefault="0038379B" w:rsidP="0038379B">
      <w:pPr>
        <w:tabs>
          <w:tab w:val="left" w:pos="851"/>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77EC6" w:rsidRPr="00F06A73">
        <w:rPr>
          <w:rFonts w:ascii="Times New Roman" w:hAnsi="Times New Roman" w:cs="Times New Roman"/>
          <w:sz w:val="24"/>
          <w:szCs w:val="24"/>
        </w:rPr>
        <w:t xml:space="preserve">Em </w:t>
      </w:r>
      <w:r w:rsidR="00077EC6" w:rsidRPr="00F06A73">
        <w:rPr>
          <w:rFonts w:ascii="Times New Roman" w:hAnsi="Times New Roman" w:cs="Times New Roman"/>
          <w:i/>
          <w:iCs/>
          <w:sz w:val="24"/>
          <w:szCs w:val="24"/>
        </w:rPr>
        <w:t xml:space="preserve">Reflexões </w:t>
      </w:r>
      <w:r w:rsidR="006F29C6" w:rsidRPr="00F06A73">
        <w:rPr>
          <w:rFonts w:ascii="Times New Roman" w:hAnsi="Times New Roman" w:cs="Times New Roman"/>
          <w:i/>
          <w:iCs/>
          <w:sz w:val="24"/>
          <w:szCs w:val="24"/>
        </w:rPr>
        <w:t>D</w:t>
      </w:r>
      <w:r w:rsidR="00077EC6" w:rsidRPr="00F06A73">
        <w:rPr>
          <w:rFonts w:ascii="Times New Roman" w:hAnsi="Times New Roman" w:cs="Times New Roman"/>
          <w:i/>
          <w:iCs/>
          <w:sz w:val="24"/>
          <w:szCs w:val="24"/>
        </w:rPr>
        <w:t xml:space="preserve">ecoloniais para </w:t>
      </w:r>
      <w:r w:rsidR="006F29C6" w:rsidRPr="00F06A73">
        <w:rPr>
          <w:rFonts w:ascii="Times New Roman" w:hAnsi="Times New Roman" w:cs="Times New Roman"/>
          <w:i/>
          <w:iCs/>
          <w:sz w:val="24"/>
          <w:szCs w:val="24"/>
        </w:rPr>
        <w:t>A</w:t>
      </w:r>
      <w:r w:rsidR="00077EC6" w:rsidRPr="00F06A73">
        <w:rPr>
          <w:rFonts w:ascii="Times New Roman" w:hAnsi="Times New Roman" w:cs="Times New Roman"/>
          <w:i/>
          <w:iCs/>
          <w:sz w:val="24"/>
          <w:szCs w:val="24"/>
        </w:rPr>
        <w:t xml:space="preserve">tuação de uma </w:t>
      </w:r>
      <w:r w:rsidR="006F29C6" w:rsidRPr="00F06A73">
        <w:rPr>
          <w:rFonts w:ascii="Times New Roman" w:hAnsi="Times New Roman" w:cs="Times New Roman"/>
          <w:i/>
          <w:iCs/>
          <w:sz w:val="24"/>
          <w:szCs w:val="24"/>
        </w:rPr>
        <w:t>C</w:t>
      </w:r>
      <w:r w:rsidR="00077EC6" w:rsidRPr="00F06A73">
        <w:rPr>
          <w:rFonts w:ascii="Times New Roman" w:hAnsi="Times New Roman" w:cs="Times New Roman"/>
          <w:i/>
          <w:iCs/>
          <w:sz w:val="24"/>
          <w:szCs w:val="24"/>
        </w:rPr>
        <w:t xml:space="preserve">línica </w:t>
      </w:r>
      <w:r w:rsidR="006F29C6" w:rsidRPr="00F06A73">
        <w:rPr>
          <w:rFonts w:ascii="Times New Roman" w:hAnsi="Times New Roman" w:cs="Times New Roman"/>
          <w:i/>
          <w:iCs/>
          <w:sz w:val="24"/>
          <w:szCs w:val="24"/>
        </w:rPr>
        <w:t>P</w:t>
      </w:r>
      <w:r w:rsidR="00077EC6" w:rsidRPr="00F06A73">
        <w:rPr>
          <w:rFonts w:ascii="Times New Roman" w:hAnsi="Times New Roman" w:cs="Times New Roman"/>
          <w:i/>
          <w:iCs/>
          <w:sz w:val="24"/>
          <w:szCs w:val="24"/>
        </w:rPr>
        <w:t xml:space="preserve">sicológica </w:t>
      </w:r>
      <w:r w:rsidR="00BF44F5" w:rsidRPr="00F06A73">
        <w:rPr>
          <w:rFonts w:ascii="Times New Roman" w:hAnsi="Times New Roman" w:cs="Times New Roman"/>
          <w:i/>
          <w:iCs/>
          <w:sz w:val="24"/>
          <w:szCs w:val="24"/>
        </w:rPr>
        <w:t>A</w:t>
      </w:r>
      <w:r w:rsidR="00077EC6" w:rsidRPr="00F06A73">
        <w:rPr>
          <w:rFonts w:ascii="Times New Roman" w:hAnsi="Times New Roman" w:cs="Times New Roman"/>
          <w:i/>
          <w:iCs/>
          <w:sz w:val="24"/>
          <w:szCs w:val="24"/>
        </w:rPr>
        <w:t xml:space="preserve">ntirracista: </w:t>
      </w:r>
      <w:r w:rsidR="00BF44F5" w:rsidRPr="00F06A73">
        <w:rPr>
          <w:rFonts w:ascii="Times New Roman" w:hAnsi="Times New Roman" w:cs="Times New Roman"/>
          <w:i/>
          <w:iCs/>
          <w:sz w:val="24"/>
          <w:szCs w:val="24"/>
        </w:rPr>
        <w:t>c</w:t>
      </w:r>
      <w:r w:rsidR="00077EC6" w:rsidRPr="00F06A73">
        <w:rPr>
          <w:rFonts w:ascii="Times New Roman" w:hAnsi="Times New Roman" w:cs="Times New Roman"/>
          <w:i/>
          <w:iCs/>
          <w:sz w:val="24"/>
          <w:szCs w:val="24"/>
        </w:rPr>
        <w:t>artografia de um cotidiano</w:t>
      </w:r>
      <w:r w:rsidR="00077EC6" w:rsidRPr="00F06A73">
        <w:rPr>
          <w:rFonts w:ascii="Times New Roman" w:hAnsi="Times New Roman" w:cs="Times New Roman"/>
          <w:sz w:val="24"/>
          <w:szCs w:val="24"/>
        </w:rPr>
        <w:t>, de</w:t>
      </w:r>
      <w:r w:rsidR="00077EC6" w:rsidRPr="00077EC6">
        <w:rPr>
          <w:rFonts w:ascii="Times New Roman" w:hAnsi="Times New Roman" w:cs="Times New Roman"/>
          <w:sz w:val="24"/>
          <w:szCs w:val="24"/>
        </w:rPr>
        <w:t xml:space="preserve"> </w:t>
      </w:r>
      <w:r w:rsidR="00077EC6" w:rsidRPr="00077EC6">
        <w:rPr>
          <w:rFonts w:ascii="Times New Roman" w:hAnsi="Times New Roman" w:cs="Times New Roman"/>
          <w:b/>
          <w:bCs/>
          <w:sz w:val="24"/>
          <w:szCs w:val="24"/>
        </w:rPr>
        <w:t>Diogo Fagundes Pereira</w:t>
      </w:r>
      <w:r w:rsidR="00D211A8" w:rsidRPr="00F06A73">
        <w:rPr>
          <w:rFonts w:ascii="Times New Roman" w:hAnsi="Times New Roman" w:cs="Times New Roman"/>
          <w:sz w:val="24"/>
          <w:szCs w:val="24"/>
        </w:rPr>
        <w:t>,</w:t>
      </w:r>
      <w:r w:rsidR="00077EC6" w:rsidRPr="00077EC6">
        <w:rPr>
          <w:rFonts w:ascii="Times New Roman" w:hAnsi="Times New Roman" w:cs="Times New Roman"/>
          <w:sz w:val="24"/>
          <w:szCs w:val="24"/>
        </w:rPr>
        <w:t xml:space="preserve"> Doutor em Educação, Mestre em Psicologia, Psicólogo Clínico e Pedagogo</w:t>
      </w:r>
      <w:r w:rsidR="0089436B">
        <w:rPr>
          <w:rFonts w:ascii="Times New Roman" w:hAnsi="Times New Roman" w:cs="Times New Roman"/>
          <w:sz w:val="24"/>
          <w:szCs w:val="24"/>
        </w:rPr>
        <w:t xml:space="preserve">, </w:t>
      </w:r>
      <w:r w:rsidR="0089436B" w:rsidRPr="0089436B">
        <w:rPr>
          <w:rFonts w:ascii="Times New Roman" w:hAnsi="Times New Roman" w:cs="Times New Roman"/>
          <w:sz w:val="24"/>
          <w:szCs w:val="24"/>
        </w:rPr>
        <w:t xml:space="preserve">e </w:t>
      </w:r>
      <w:r w:rsidR="0089436B" w:rsidRPr="0089436B">
        <w:rPr>
          <w:rStyle w:val="label"/>
          <w:rFonts w:ascii="Times New Roman" w:hAnsi="Times New Roman" w:cs="Times New Roman"/>
          <w:b/>
          <w:sz w:val="24"/>
          <w:szCs w:val="24"/>
          <w:shd w:val="clear" w:color="auto" w:fill="FFFFFF"/>
        </w:rPr>
        <w:t>Mariana Felippe Barenco Dorta da Silva</w:t>
      </w:r>
      <w:r w:rsidR="0089436B">
        <w:rPr>
          <w:rStyle w:val="label"/>
          <w:rFonts w:ascii="Times New Roman" w:hAnsi="Times New Roman" w:cs="Times New Roman"/>
          <w:sz w:val="24"/>
          <w:szCs w:val="24"/>
          <w:shd w:val="clear" w:color="auto" w:fill="FFFFFF"/>
        </w:rPr>
        <w:t xml:space="preserve">, psicóloga, </w:t>
      </w:r>
      <w:r w:rsidR="00D211A8" w:rsidRPr="00F06A73">
        <w:rPr>
          <w:rFonts w:ascii="Times New Roman" w:hAnsi="Times New Roman" w:cs="Times New Roman"/>
          <w:sz w:val="24"/>
          <w:szCs w:val="24"/>
        </w:rPr>
        <w:t xml:space="preserve">o </w:t>
      </w:r>
      <w:r w:rsidR="00077EC6" w:rsidRPr="00077EC6">
        <w:rPr>
          <w:rFonts w:ascii="Times New Roman" w:hAnsi="Times New Roman" w:cs="Times New Roman"/>
          <w:sz w:val="24"/>
          <w:szCs w:val="24"/>
        </w:rPr>
        <w:t>racismo</w:t>
      </w:r>
      <w:r w:rsidR="00D211A8" w:rsidRPr="00F06A73">
        <w:rPr>
          <w:rFonts w:ascii="Times New Roman" w:hAnsi="Times New Roman" w:cs="Times New Roman"/>
          <w:sz w:val="24"/>
          <w:szCs w:val="24"/>
        </w:rPr>
        <w:t xml:space="preserve"> é compreendido como algo</w:t>
      </w:r>
      <w:r w:rsidR="00077EC6" w:rsidRPr="00077EC6">
        <w:rPr>
          <w:rFonts w:ascii="Times New Roman" w:hAnsi="Times New Roman" w:cs="Times New Roman"/>
          <w:sz w:val="24"/>
          <w:szCs w:val="24"/>
        </w:rPr>
        <w:t xml:space="preserve"> estrutural </w:t>
      </w:r>
      <w:r w:rsidR="00D211A8" w:rsidRPr="00F06A73">
        <w:rPr>
          <w:rFonts w:ascii="Times New Roman" w:hAnsi="Times New Roman" w:cs="Times New Roman"/>
          <w:sz w:val="24"/>
          <w:szCs w:val="24"/>
        </w:rPr>
        <w:t xml:space="preserve">que </w:t>
      </w:r>
      <w:r w:rsidR="00077EC6" w:rsidRPr="00077EC6">
        <w:rPr>
          <w:rFonts w:ascii="Times New Roman" w:hAnsi="Times New Roman" w:cs="Times New Roman"/>
          <w:sz w:val="24"/>
          <w:szCs w:val="24"/>
        </w:rPr>
        <w:t>atravessa a clínica psicológica e afeta a saúde mental da população negra. A pesquisa cartográfica revela lacunas na formação dos profissionais e propõe uma atuação antirracista</w:t>
      </w:r>
      <w:r w:rsidR="008605E8" w:rsidRPr="00F06A73">
        <w:rPr>
          <w:rFonts w:ascii="Times New Roman" w:hAnsi="Times New Roman" w:cs="Times New Roman"/>
          <w:sz w:val="24"/>
          <w:szCs w:val="24"/>
        </w:rPr>
        <w:t xml:space="preserve"> nessa área do conhecimento tão valiosa para a população negra</w:t>
      </w:r>
      <w:r w:rsidR="00077EC6" w:rsidRPr="00077EC6">
        <w:rPr>
          <w:rFonts w:ascii="Times New Roman" w:hAnsi="Times New Roman" w:cs="Times New Roman"/>
          <w:sz w:val="24"/>
          <w:szCs w:val="24"/>
        </w:rPr>
        <w:t>.</w:t>
      </w:r>
    </w:p>
    <w:p w14:paraId="2398C49B" w14:textId="2100D49D" w:rsidR="002A2BBA" w:rsidRPr="00F06A73" w:rsidRDefault="002A2BBA" w:rsidP="0038379B">
      <w:pPr>
        <w:tabs>
          <w:tab w:val="left" w:pos="3630"/>
        </w:tabs>
        <w:spacing w:before="240" w:line="360" w:lineRule="auto"/>
        <w:ind w:firstLine="851"/>
        <w:jc w:val="both"/>
        <w:rPr>
          <w:rFonts w:ascii="Times New Roman" w:hAnsi="Times New Roman" w:cs="Times New Roman"/>
          <w:b/>
          <w:i/>
          <w:iCs/>
          <w:sz w:val="24"/>
          <w:szCs w:val="24"/>
          <w:lang w:val="pt-PT"/>
        </w:rPr>
      </w:pPr>
      <w:r w:rsidRPr="00F06A73">
        <w:rPr>
          <w:rFonts w:ascii="Times New Roman" w:hAnsi="Times New Roman" w:cs="Times New Roman"/>
          <w:sz w:val="24"/>
          <w:szCs w:val="24"/>
        </w:rPr>
        <w:t xml:space="preserve">Na sequência, </w:t>
      </w:r>
      <w:r w:rsidRPr="00F06A73">
        <w:rPr>
          <w:rFonts w:ascii="Times New Roman" w:hAnsi="Times New Roman" w:cs="Times New Roman"/>
          <w:b/>
          <w:bCs/>
          <w:sz w:val="24"/>
          <w:szCs w:val="24"/>
        </w:rPr>
        <w:t>Abel Calombo Quijila</w:t>
      </w:r>
      <w:r w:rsidRPr="00F06A73">
        <w:rPr>
          <w:rFonts w:ascii="Times New Roman" w:hAnsi="Times New Roman" w:cs="Times New Roman"/>
          <w:sz w:val="24"/>
          <w:szCs w:val="24"/>
        </w:rPr>
        <w:t xml:space="preserve">, doutorando </w:t>
      </w:r>
      <w:r w:rsidR="006F29C6" w:rsidRPr="00F06A73">
        <w:rPr>
          <w:rFonts w:ascii="Times New Roman" w:hAnsi="Times New Roman" w:cs="Times New Roman"/>
          <w:sz w:val="24"/>
          <w:szCs w:val="24"/>
        </w:rPr>
        <w:t>em educação</w:t>
      </w:r>
      <w:r w:rsidRPr="00F06A73">
        <w:rPr>
          <w:rFonts w:ascii="Times New Roman" w:hAnsi="Times New Roman" w:cs="Times New Roman"/>
          <w:sz w:val="24"/>
          <w:szCs w:val="24"/>
        </w:rPr>
        <w:t xml:space="preserve">, apresenta o artigo </w:t>
      </w:r>
      <w:r w:rsidRPr="00F06A73">
        <w:rPr>
          <w:rFonts w:ascii="Times New Roman" w:hAnsi="Times New Roman" w:cs="Times New Roman"/>
          <w:i/>
          <w:iCs/>
          <w:sz w:val="24"/>
          <w:szCs w:val="24"/>
        </w:rPr>
        <w:t>África entre independência e dependência</w:t>
      </w:r>
      <w:r w:rsidR="00193D9B" w:rsidRPr="00F06A73">
        <w:rPr>
          <w:rFonts w:ascii="Times New Roman" w:hAnsi="Times New Roman" w:cs="Times New Roman"/>
          <w:i/>
          <w:iCs/>
          <w:sz w:val="24"/>
          <w:szCs w:val="24"/>
        </w:rPr>
        <w:t>:</w:t>
      </w:r>
      <w:r w:rsidR="00193D9B" w:rsidRPr="00F06A73">
        <w:rPr>
          <w:rFonts w:ascii="Times New Roman" w:hAnsi="Times New Roman" w:cs="Times New Roman"/>
          <w:b/>
          <w:sz w:val="24"/>
          <w:szCs w:val="24"/>
        </w:rPr>
        <w:t xml:space="preserve"> </w:t>
      </w:r>
      <w:r w:rsidR="00193D9B" w:rsidRPr="00F06A73">
        <w:rPr>
          <w:rFonts w:ascii="Times New Roman" w:hAnsi="Times New Roman" w:cs="Times New Roman"/>
          <w:bCs/>
          <w:i/>
          <w:iCs/>
          <w:sz w:val="24"/>
          <w:szCs w:val="24"/>
          <w:lang w:val="pt-PT"/>
        </w:rPr>
        <w:t>Neocolonialismo e o impacto geopolítico dos discursos das lideranças insurgentes africanas no século XXI</w:t>
      </w:r>
      <w:r w:rsidR="00193D9B" w:rsidRPr="00F06A73">
        <w:rPr>
          <w:rFonts w:ascii="Times New Roman" w:hAnsi="Times New Roman" w:cs="Times New Roman"/>
          <w:b/>
          <w:i/>
          <w:iCs/>
          <w:sz w:val="24"/>
          <w:szCs w:val="24"/>
          <w:lang w:val="pt-PT"/>
        </w:rPr>
        <w:t xml:space="preserve">, </w:t>
      </w:r>
      <w:r w:rsidR="00193D9B" w:rsidRPr="00F06A73">
        <w:rPr>
          <w:rFonts w:ascii="Times New Roman" w:hAnsi="Times New Roman" w:cs="Times New Roman"/>
          <w:sz w:val="24"/>
          <w:szCs w:val="24"/>
        </w:rPr>
        <w:t>no</w:t>
      </w:r>
      <w:r w:rsidRPr="00F06A73">
        <w:rPr>
          <w:rFonts w:ascii="Times New Roman" w:hAnsi="Times New Roman" w:cs="Times New Roman"/>
          <w:sz w:val="24"/>
          <w:szCs w:val="24"/>
        </w:rPr>
        <w:t xml:space="preserve"> qual examina o neocolonialismo como mecanismo de dominação contínua no continente africano. A pesquisa destaca a revolução sociopolítica no Sahel e defende o engajamento da juventude e da diáspora africana nos ideais do panafricanismo como caminho para a reconstrução da soberania.</w:t>
      </w:r>
    </w:p>
    <w:p w14:paraId="36BB3412" w14:textId="12E22545" w:rsidR="002A2BBA" w:rsidRPr="00F06A73" w:rsidRDefault="002A2BBA" w:rsidP="00BF44F5">
      <w:pPr>
        <w:spacing w:after="0" w:line="360" w:lineRule="auto"/>
        <w:ind w:firstLine="851"/>
        <w:jc w:val="both"/>
        <w:rPr>
          <w:rFonts w:ascii="Times New Roman" w:hAnsi="Times New Roman" w:cs="Times New Roman"/>
          <w:sz w:val="24"/>
          <w:szCs w:val="24"/>
        </w:rPr>
      </w:pPr>
      <w:r w:rsidRPr="00F06A73">
        <w:rPr>
          <w:rFonts w:ascii="Times New Roman" w:hAnsi="Times New Roman" w:cs="Times New Roman"/>
          <w:b/>
          <w:bCs/>
          <w:sz w:val="24"/>
          <w:szCs w:val="24"/>
        </w:rPr>
        <w:t>Bruno Costa</w:t>
      </w:r>
      <w:r w:rsidRPr="00F06A73">
        <w:rPr>
          <w:rFonts w:ascii="Times New Roman" w:hAnsi="Times New Roman" w:cs="Times New Roman"/>
          <w:sz w:val="24"/>
          <w:szCs w:val="24"/>
        </w:rPr>
        <w:t xml:space="preserve">, doutorando pela Universidade de Coimbra, contribui com o artigo </w:t>
      </w:r>
      <w:r w:rsidRPr="00F06A73">
        <w:rPr>
          <w:rFonts w:ascii="Times New Roman" w:hAnsi="Times New Roman" w:cs="Times New Roman"/>
          <w:i/>
          <w:iCs/>
          <w:sz w:val="24"/>
          <w:szCs w:val="24"/>
        </w:rPr>
        <w:t>Sionismo como Colonialismo de Povoamento</w:t>
      </w:r>
      <w:r w:rsidR="00E34BCD" w:rsidRPr="00F06A73">
        <w:rPr>
          <w:rFonts w:ascii="Times New Roman" w:hAnsi="Times New Roman" w:cs="Times New Roman"/>
          <w:i/>
          <w:iCs/>
          <w:sz w:val="24"/>
          <w:szCs w:val="24"/>
        </w:rPr>
        <w:t>:</w:t>
      </w:r>
      <w:r w:rsidR="009E3A67" w:rsidRPr="00F06A73">
        <w:rPr>
          <w:rFonts w:ascii="Times New Roman" w:hAnsi="Times New Roman" w:cs="Times New Roman"/>
          <w:i/>
          <w:iCs/>
          <w:sz w:val="24"/>
          <w:szCs w:val="24"/>
        </w:rPr>
        <w:t xml:space="preserve"> </w:t>
      </w:r>
      <w:r w:rsidR="00E34BCD" w:rsidRPr="00F06A73">
        <w:rPr>
          <w:rFonts w:ascii="Times New Roman" w:hAnsi="Times New Roman" w:cs="Times New Roman"/>
          <w:i/>
          <w:iCs/>
          <w:sz w:val="24"/>
          <w:szCs w:val="24"/>
        </w:rPr>
        <w:t>Modernidade ocidental e direitos humanos</w:t>
      </w:r>
      <w:r w:rsidRPr="00F06A73">
        <w:rPr>
          <w:rFonts w:ascii="Times New Roman" w:hAnsi="Times New Roman" w:cs="Times New Roman"/>
          <w:sz w:val="24"/>
          <w:szCs w:val="24"/>
        </w:rPr>
        <w:t>, que propõe uma leitura crítica do sionismo como expressão colonial da modernidade ocidental. A partir de uma abordagem transdisciplinar, o autor evidencia como hierarquias raciais e epistemológicas sustentam práticas de exclusão e silenciam discursos de direitos humanos.</w:t>
      </w:r>
    </w:p>
    <w:p w14:paraId="1B66671A" w14:textId="77777777" w:rsidR="00BF44F5" w:rsidRPr="00F06A73" w:rsidRDefault="00BF44F5" w:rsidP="00BF44F5">
      <w:pPr>
        <w:spacing w:after="0" w:line="240" w:lineRule="auto"/>
        <w:ind w:firstLine="851"/>
        <w:jc w:val="both"/>
        <w:rPr>
          <w:rFonts w:ascii="Times New Roman" w:hAnsi="Times New Roman" w:cs="Times New Roman"/>
          <w:sz w:val="24"/>
          <w:szCs w:val="24"/>
        </w:rPr>
      </w:pPr>
    </w:p>
    <w:p w14:paraId="3F6A6E48" w14:textId="528D9661" w:rsidR="00782C42" w:rsidRPr="00F06A73" w:rsidRDefault="00782C42" w:rsidP="00BF44F5">
      <w:pPr>
        <w:tabs>
          <w:tab w:val="left" w:pos="3630"/>
        </w:tabs>
        <w:spacing w:after="0" w:line="360" w:lineRule="auto"/>
        <w:ind w:firstLine="851"/>
        <w:jc w:val="both"/>
        <w:rPr>
          <w:rFonts w:ascii="Times New Roman" w:hAnsi="Times New Roman" w:cs="Times New Roman"/>
          <w:sz w:val="24"/>
          <w:szCs w:val="24"/>
        </w:rPr>
      </w:pPr>
      <w:r w:rsidRPr="00F06A73">
        <w:rPr>
          <w:rFonts w:ascii="Times New Roman" w:hAnsi="Times New Roman" w:cs="Times New Roman"/>
          <w:sz w:val="24"/>
          <w:szCs w:val="24"/>
        </w:rPr>
        <w:t xml:space="preserve">O artigo </w:t>
      </w:r>
      <w:r w:rsidRPr="00F06A73">
        <w:rPr>
          <w:rFonts w:ascii="Times New Roman" w:hAnsi="Times New Roman" w:cs="Times New Roman"/>
          <w:i/>
          <w:iCs/>
          <w:sz w:val="24"/>
          <w:szCs w:val="24"/>
        </w:rPr>
        <w:t>Epistemologia Periférica de Libertação: Racionais MC’s e a Cultura de Luta Antirracista nas Periferias Brasileiras</w:t>
      </w:r>
      <w:r w:rsidRPr="00F06A73">
        <w:rPr>
          <w:rFonts w:ascii="Times New Roman" w:hAnsi="Times New Roman" w:cs="Times New Roman"/>
          <w:sz w:val="24"/>
          <w:szCs w:val="24"/>
        </w:rPr>
        <w:t xml:space="preserve">, de autoria de </w:t>
      </w:r>
      <w:r w:rsidRPr="00F06A73">
        <w:rPr>
          <w:rFonts w:ascii="Times New Roman" w:hAnsi="Times New Roman" w:cs="Times New Roman"/>
          <w:b/>
          <w:bCs/>
          <w:sz w:val="24"/>
          <w:szCs w:val="24"/>
        </w:rPr>
        <w:t>Melina Rocha</w:t>
      </w:r>
      <w:r w:rsidRPr="00F06A73">
        <w:rPr>
          <w:rFonts w:ascii="Times New Roman" w:hAnsi="Times New Roman" w:cs="Times New Roman"/>
          <w:sz w:val="24"/>
          <w:szCs w:val="24"/>
        </w:rPr>
        <w:t>, doutoranda pela UFMG, propõe uma análise crítica da produção político-artística dos Racionais MC’s como expressão de saberes insurgentes. O estudo reconhece os Racionais como intelectuais orgânicos das periferias urbanas, cuja obra contribui para a valorização dos saberes marginalizados e para a construção de uma pedagogia decolonial. Trata-se de uma contribuição relevante para os debates sobre justiça racial, educação crítica e cultura de luta.</w:t>
      </w:r>
    </w:p>
    <w:p w14:paraId="46C96524" w14:textId="3D5DCA51" w:rsidR="002A2BBA" w:rsidRPr="00F06A73" w:rsidRDefault="002A2BBA" w:rsidP="002A2BBA">
      <w:pPr>
        <w:tabs>
          <w:tab w:val="left" w:pos="3630"/>
        </w:tabs>
        <w:spacing w:line="360" w:lineRule="auto"/>
        <w:ind w:firstLine="851"/>
        <w:jc w:val="both"/>
        <w:rPr>
          <w:rFonts w:ascii="Times New Roman" w:hAnsi="Times New Roman" w:cs="Times New Roman"/>
          <w:sz w:val="24"/>
          <w:szCs w:val="24"/>
        </w:rPr>
      </w:pPr>
      <w:r w:rsidRPr="00F06A73">
        <w:rPr>
          <w:rFonts w:ascii="Times New Roman" w:hAnsi="Times New Roman" w:cs="Times New Roman"/>
          <w:b/>
          <w:bCs/>
          <w:sz w:val="24"/>
          <w:szCs w:val="24"/>
        </w:rPr>
        <w:t>Lucas M. Lessa</w:t>
      </w:r>
      <w:r w:rsidRPr="00F06A73">
        <w:rPr>
          <w:rFonts w:ascii="Times New Roman" w:hAnsi="Times New Roman" w:cs="Times New Roman"/>
          <w:sz w:val="24"/>
          <w:szCs w:val="24"/>
        </w:rPr>
        <w:t xml:space="preserve">, mestre em Filosofia pela UFES, em seu artigo </w:t>
      </w:r>
      <w:r w:rsidRPr="00F06A73">
        <w:rPr>
          <w:rFonts w:ascii="Times New Roman" w:hAnsi="Times New Roman" w:cs="Times New Roman"/>
          <w:i/>
          <w:iCs/>
          <w:sz w:val="24"/>
          <w:szCs w:val="24"/>
        </w:rPr>
        <w:t>Ainda sobre Junho de 2013: Uma Oportunidade Perdida?</w:t>
      </w:r>
      <w:r w:rsidRPr="00F06A73">
        <w:rPr>
          <w:rFonts w:ascii="Times New Roman" w:hAnsi="Times New Roman" w:cs="Times New Roman"/>
          <w:sz w:val="24"/>
          <w:szCs w:val="24"/>
        </w:rPr>
        <w:t>, revisita as manifestações populares d</w:t>
      </w:r>
      <w:r w:rsidR="003C5D77" w:rsidRPr="00F06A73">
        <w:rPr>
          <w:rFonts w:ascii="Times New Roman" w:hAnsi="Times New Roman" w:cs="Times New Roman"/>
          <w:sz w:val="24"/>
          <w:szCs w:val="24"/>
        </w:rPr>
        <w:t>0</w:t>
      </w:r>
      <w:r w:rsidRPr="00F06A73">
        <w:rPr>
          <w:rFonts w:ascii="Times New Roman" w:hAnsi="Times New Roman" w:cs="Times New Roman"/>
          <w:sz w:val="24"/>
          <w:szCs w:val="24"/>
        </w:rPr>
        <w:t xml:space="preserve"> período</w:t>
      </w:r>
      <w:r w:rsidR="003C5D77" w:rsidRPr="00F06A73">
        <w:rPr>
          <w:rFonts w:ascii="Times New Roman" w:hAnsi="Times New Roman" w:cs="Times New Roman"/>
          <w:sz w:val="24"/>
          <w:szCs w:val="24"/>
        </w:rPr>
        <w:t xml:space="preserve"> das manifestações de 2013</w:t>
      </w:r>
      <w:r w:rsidRPr="00F06A73">
        <w:rPr>
          <w:rFonts w:ascii="Times New Roman" w:hAnsi="Times New Roman" w:cs="Times New Roman"/>
          <w:sz w:val="24"/>
          <w:szCs w:val="24"/>
        </w:rPr>
        <w:t>, propondo uma leitura alternativa que destaca o potencial emancipatório das insurgências, frequentemente ignorado pelas interpretações hegemônicas.</w:t>
      </w:r>
    </w:p>
    <w:p w14:paraId="4374ECB2" w14:textId="5037A193" w:rsidR="00782C42" w:rsidRPr="00F06A73" w:rsidRDefault="002A2BBA" w:rsidP="002A2BBA">
      <w:pPr>
        <w:tabs>
          <w:tab w:val="left" w:pos="3630"/>
        </w:tabs>
        <w:spacing w:line="360" w:lineRule="auto"/>
        <w:ind w:firstLine="851"/>
        <w:jc w:val="both"/>
        <w:rPr>
          <w:rFonts w:ascii="Times New Roman" w:hAnsi="Times New Roman" w:cs="Times New Roman"/>
          <w:sz w:val="24"/>
          <w:szCs w:val="24"/>
        </w:rPr>
      </w:pPr>
      <w:r w:rsidRPr="00F06A73">
        <w:rPr>
          <w:rFonts w:ascii="Times New Roman" w:hAnsi="Times New Roman" w:cs="Times New Roman"/>
          <w:b/>
          <w:bCs/>
          <w:sz w:val="24"/>
          <w:szCs w:val="24"/>
        </w:rPr>
        <w:t>Luiza Rodrigues Gomes</w:t>
      </w:r>
      <w:r w:rsidRPr="00F06A73">
        <w:rPr>
          <w:rFonts w:ascii="Times New Roman" w:hAnsi="Times New Roman" w:cs="Times New Roman"/>
          <w:sz w:val="24"/>
          <w:szCs w:val="24"/>
        </w:rPr>
        <w:t xml:space="preserve">, psicóloga e pesquisadora da </w:t>
      </w:r>
      <w:r w:rsidR="00F731EF" w:rsidRPr="00F06A73">
        <w:rPr>
          <w:rFonts w:ascii="Times New Roman" w:hAnsi="Times New Roman" w:cs="Times New Roman"/>
          <w:sz w:val="24"/>
          <w:szCs w:val="24"/>
        </w:rPr>
        <w:t>UFRJ, em</w:t>
      </w:r>
      <w:r w:rsidR="00047046" w:rsidRPr="00F06A73">
        <w:rPr>
          <w:rFonts w:ascii="Times New Roman" w:hAnsi="Times New Roman" w:cs="Times New Roman"/>
          <w:sz w:val="24"/>
          <w:szCs w:val="24"/>
        </w:rPr>
        <w:t xml:space="preserve"> seu artigo </w:t>
      </w:r>
      <w:r w:rsidR="00047046" w:rsidRPr="00F06A73">
        <w:rPr>
          <w:rFonts w:ascii="Times New Roman" w:hAnsi="Times New Roman" w:cs="Times New Roman"/>
          <w:i/>
          <w:iCs/>
          <w:sz w:val="24"/>
          <w:szCs w:val="24"/>
        </w:rPr>
        <w:t>Transformando Espaços</w:t>
      </w:r>
      <w:r w:rsidR="00047046" w:rsidRPr="00F06A73">
        <w:rPr>
          <w:rFonts w:ascii="Times New Roman" w:hAnsi="Times New Roman" w:cs="Times New Roman"/>
          <w:sz w:val="24"/>
          <w:szCs w:val="24"/>
        </w:rPr>
        <w:t>, denuncia o silenciamento histórico-epistêmico de sujeitos racial e economicamente marcados no sistema educacional brasileiro. Fundamentado em autores como Cida Bento, Achille Mbembe e Paulo Freire, o estudo propõe uma pedagogia decolonial e plural. A educação é apresentada como ferramenta de resistência e reconstrução identitária. Uma leitura potente e necessária.</w:t>
      </w:r>
    </w:p>
    <w:p w14:paraId="508A63A7" w14:textId="77777777" w:rsidR="005F65D6" w:rsidRPr="009E3A67" w:rsidRDefault="005F65D6" w:rsidP="002A2BBA">
      <w:pPr>
        <w:tabs>
          <w:tab w:val="left" w:pos="3630"/>
        </w:tabs>
        <w:spacing w:line="360" w:lineRule="auto"/>
        <w:ind w:firstLine="851"/>
        <w:jc w:val="both"/>
        <w:rPr>
          <w:rFonts w:ascii="Times New Roman" w:hAnsi="Times New Roman" w:cs="Times New Roman"/>
          <w:sz w:val="24"/>
          <w:szCs w:val="24"/>
        </w:rPr>
      </w:pPr>
      <w:bookmarkStart w:id="0" w:name="_GoBack"/>
      <w:bookmarkEnd w:id="0"/>
    </w:p>
    <w:p w14:paraId="42125A6F" w14:textId="77777777" w:rsidR="002A2BBA" w:rsidRPr="002A2BBA" w:rsidRDefault="002A2BBA" w:rsidP="002A2BBA">
      <w:pPr>
        <w:tabs>
          <w:tab w:val="left" w:pos="3630"/>
        </w:tabs>
        <w:spacing w:line="360" w:lineRule="auto"/>
        <w:ind w:firstLine="851"/>
        <w:jc w:val="both"/>
        <w:rPr>
          <w:rFonts w:ascii="Times New Roman" w:hAnsi="Times New Roman" w:cs="Times New Roman"/>
          <w:sz w:val="24"/>
          <w:szCs w:val="24"/>
        </w:rPr>
      </w:pPr>
      <w:r w:rsidRPr="002A2BBA">
        <w:rPr>
          <w:rFonts w:ascii="Times New Roman" w:hAnsi="Times New Roman" w:cs="Times New Roman"/>
          <w:sz w:val="24"/>
          <w:szCs w:val="24"/>
        </w:rPr>
        <w:t xml:space="preserve">Convidamos leitoras e leitores a mergulharem nas páginas desta edição, que reafirma o compromisso da revista com a crítica radical e a construção de saberes libertários. </w:t>
      </w:r>
      <w:r w:rsidRPr="002A2BBA">
        <w:rPr>
          <w:rFonts w:ascii="Times New Roman" w:hAnsi="Times New Roman" w:cs="Times New Roman"/>
          <w:b/>
          <w:bCs/>
          <w:sz w:val="24"/>
          <w:szCs w:val="24"/>
        </w:rPr>
        <w:t>Boa leitura!</w:t>
      </w:r>
    </w:p>
    <w:p w14:paraId="633CA812" w14:textId="77777777" w:rsidR="00A05829" w:rsidRPr="009E3A67" w:rsidRDefault="00A05829" w:rsidP="00A05829">
      <w:pPr>
        <w:tabs>
          <w:tab w:val="left" w:pos="3630"/>
        </w:tabs>
        <w:spacing w:line="360" w:lineRule="auto"/>
        <w:ind w:firstLine="851"/>
        <w:jc w:val="both"/>
        <w:rPr>
          <w:rFonts w:ascii="Times New Roman" w:hAnsi="Times New Roman" w:cs="Times New Roman"/>
          <w:sz w:val="24"/>
          <w:szCs w:val="24"/>
        </w:rPr>
      </w:pPr>
    </w:p>
    <w:p w14:paraId="460B56E0" w14:textId="77777777" w:rsidR="00A05829" w:rsidRPr="009E3A67" w:rsidRDefault="00A05829" w:rsidP="002C2E01">
      <w:pPr>
        <w:tabs>
          <w:tab w:val="left" w:pos="3630"/>
        </w:tabs>
        <w:spacing w:after="0" w:line="480" w:lineRule="auto"/>
        <w:ind w:firstLine="851"/>
        <w:jc w:val="both"/>
        <w:rPr>
          <w:rFonts w:ascii="Times New Roman" w:hAnsi="Times New Roman" w:cs="Times New Roman"/>
          <w:sz w:val="24"/>
          <w:szCs w:val="24"/>
        </w:rPr>
      </w:pPr>
    </w:p>
    <w:p w14:paraId="48AEFCC0" w14:textId="0D69D414" w:rsidR="001D681E" w:rsidRPr="009E3A67" w:rsidRDefault="001D681E" w:rsidP="002C2E01">
      <w:pPr>
        <w:tabs>
          <w:tab w:val="left" w:pos="3630"/>
        </w:tabs>
        <w:spacing w:after="0" w:line="480" w:lineRule="auto"/>
        <w:ind w:firstLine="851"/>
        <w:jc w:val="both"/>
        <w:rPr>
          <w:rFonts w:ascii="Times New Roman" w:hAnsi="Times New Roman" w:cs="Times New Roman"/>
          <w:sz w:val="24"/>
          <w:szCs w:val="24"/>
        </w:rPr>
      </w:pPr>
    </w:p>
    <w:p w14:paraId="15EA3B7B" w14:textId="77777777" w:rsidR="00B62AF4" w:rsidRPr="009E3A67" w:rsidRDefault="00B62AF4" w:rsidP="00B62AF4">
      <w:pPr>
        <w:tabs>
          <w:tab w:val="left" w:pos="3630"/>
        </w:tabs>
        <w:jc w:val="center"/>
        <w:rPr>
          <w:rFonts w:ascii="Times New Roman" w:hAnsi="Times New Roman" w:cs="Times New Roman"/>
        </w:rPr>
      </w:pPr>
    </w:p>
    <w:p w14:paraId="55F89F9F" w14:textId="77777777" w:rsidR="00B62AF4" w:rsidRPr="009E3A67" w:rsidRDefault="00B62AF4" w:rsidP="00B62AF4">
      <w:pPr>
        <w:tabs>
          <w:tab w:val="left" w:pos="3630"/>
        </w:tabs>
        <w:jc w:val="center"/>
        <w:rPr>
          <w:rFonts w:ascii="Times New Roman" w:hAnsi="Times New Roman" w:cs="Times New Roman"/>
        </w:rPr>
      </w:pPr>
    </w:p>
    <w:p w14:paraId="3E106A9B" w14:textId="77777777" w:rsidR="00B62AF4" w:rsidRPr="009E3A67" w:rsidRDefault="00B62AF4" w:rsidP="00B62AF4">
      <w:pPr>
        <w:tabs>
          <w:tab w:val="left" w:pos="3630"/>
        </w:tabs>
        <w:jc w:val="center"/>
        <w:rPr>
          <w:rFonts w:ascii="Times New Roman" w:hAnsi="Times New Roman" w:cs="Times New Roman"/>
        </w:rPr>
      </w:pPr>
    </w:p>
    <w:p w14:paraId="16D69FF7" w14:textId="77777777" w:rsidR="00B62AF4" w:rsidRPr="009E3A67" w:rsidRDefault="00B62AF4" w:rsidP="00B62AF4">
      <w:pPr>
        <w:tabs>
          <w:tab w:val="left" w:pos="3630"/>
        </w:tabs>
        <w:jc w:val="center"/>
        <w:rPr>
          <w:rFonts w:ascii="Times New Roman" w:hAnsi="Times New Roman" w:cs="Times New Roman"/>
        </w:rPr>
      </w:pPr>
    </w:p>
    <w:p w14:paraId="42C39089" w14:textId="50E04DEC" w:rsidR="00B62AF4" w:rsidRPr="009E3A67" w:rsidRDefault="00B62AF4" w:rsidP="00B62AF4">
      <w:pPr>
        <w:tabs>
          <w:tab w:val="left" w:pos="3630"/>
        </w:tabs>
        <w:jc w:val="center"/>
        <w:rPr>
          <w:rFonts w:ascii="Times New Roman" w:hAnsi="Times New Roman" w:cs="Times New Roman"/>
        </w:rPr>
      </w:pPr>
    </w:p>
    <w:p w14:paraId="4B037E3A" w14:textId="77777777" w:rsidR="00B62AF4" w:rsidRPr="009E3A67" w:rsidRDefault="00B62AF4" w:rsidP="00B62AF4">
      <w:pPr>
        <w:tabs>
          <w:tab w:val="left" w:pos="3630"/>
        </w:tabs>
        <w:jc w:val="center"/>
        <w:rPr>
          <w:rFonts w:ascii="Times New Roman" w:hAnsi="Times New Roman" w:cs="Times New Roman"/>
        </w:rPr>
      </w:pPr>
    </w:p>
    <w:p w14:paraId="600E5567" w14:textId="77777777" w:rsidR="00B62AF4" w:rsidRPr="009E3A67" w:rsidRDefault="00B62AF4" w:rsidP="00B62AF4">
      <w:pPr>
        <w:tabs>
          <w:tab w:val="left" w:pos="3630"/>
        </w:tabs>
        <w:jc w:val="center"/>
        <w:rPr>
          <w:rFonts w:ascii="Times New Roman" w:hAnsi="Times New Roman" w:cs="Times New Roman"/>
        </w:rPr>
      </w:pPr>
    </w:p>
    <w:p w14:paraId="20EF448F" w14:textId="4FFBC074" w:rsidR="00B62AF4" w:rsidRDefault="00B62AF4" w:rsidP="00B62AF4">
      <w:pPr>
        <w:tabs>
          <w:tab w:val="left" w:pos="3630"/>
        </w:tabs>
        <w:jc w:val="center"/>
        <w:rPr>
          <w:rFonts w:ascii="Times New Roman" w:hAnsi="Times New Roman" w:cs="Times New Roman"/>
        </w:rPr>
      </w:pPr>
    </w:p>
    <w:p w14:paraId="0813142F" w14:textId="709270FE" w:rsidR="0089436B" w:rsidRDefault="0089436B" w:rsidP="00B62AF4">
      <w:pPr>
        <w:tabs>
          <w:tab w:val="left" w:pos="3630"/>
        </w:tabs>
        <w:jc w:val="center"/>
        <w:rPr>
          <w:rFonts w:ascii="Times New Roman" w:hAnsi="Times New Roman" w:cs="Times New Roman"/>
        </w:rPr>
      </w:pPr>
    </w:p>
    <w:p w14:paraId="3D05BFCD" w14:textId="209BFB4F" w:rsidR="0089436B" w:rsidRDefault="0089436B" w:rsidP="00B62AF4">
      <w:pPr>
        <w:tabs>
          <w:tab w:val="left" w:pos="3630"/>
        </w:tabs>
        <w:jc w:val="center"/>
        <w:rPr>
          <w:rFonts w:ascii="Times New Roman" w:hAnsi="Times New Roman" w:cs="Times New Roman"/>
        </w:rPr>
      </w:pPr>
    </w:p>
    <w:p w14:paraId="1625EA42" w14:textId="77777777" w:rsidR="00B62AF4" w:rsidRPr="009E3A67" w:rsidRDefault="00B62AF4" w:rsidP="00B62AF4">
      <w:pPr>
        <w:tabs>
          <w:tab w:val="left" w:pos="3630"/>
        </w:tabs>
        <w:jc w:val="center"/>
        <w:rPr>
          <w:rFonts w:ascii="Times New Roman" w:hAnsi="Times New Roman" w:cs="Times New Roman"/>
        </w:rPr>
      </w:pPr>
    </w:p>
    <w:p w14:paraId="210A1B01" w14:textId="77777777" w:rsidR="00BE7751" w:rsidRPr="009E3A67" w:rsidRDefault="00BE7751" w:rsidP="00B62AF4">
      <w:pPr>
        <w:tabs>
          <w:tab w:val="left" w:pos="3630"/>
        </w:tabs>
        <w:jc w:val="center"/>
        <w:rPr>
          <w:rFonts w:ascii="Times New Roman" w:hAnsi="Times New Roman" w:cs="Times New Roman"/>
        </w:rPr>
      </w:pPr>
    </w:p>
    <w:p w14:paraId="6405C51A" w14:textId="77777777" w:rsidR="00BE7751" w:rsidRPr="009E3A67" w:rsidRDefault="00BE7751" w:rsidP="00B62AF4">
      <w:pPr>
        <w:tabs>
          <w:tab w:val="left" w:pos="3630"/>
        </w:tabs>
        <w:jc w:val="center"/>
        <w:rPr>
          <w:rFonts w:ascii="Times New Roman" w:hAnsi="Times New Roman" w:cs="Times New Roman"/>
        </w:rPr>
      </w:pPr>
    </w:p>
    <w:p w14:paraId="352633AC" w14:textId="77777777" w:rsidR="00BE7751" w:rsidRPr="009E3A67" w:rsidRDefault="00BE7751" w:rsidP="00B62AF4">
      <w:pPr>
        <w:tabs>
          <w:tab w:val="left" w:pos="3630"/>
        </w:tabs>
        <w:jc w:val="center"/>
        <w:rPr>
          <w:rFonts w:ascii="Times New Roman" w:hAnsi="Times New Roman" w:cs="Times New Roman"/>
        </w:rPr>
      </w:pPr>
    </w:p>
    <w:p w14:paraId="6D5DA718" w14:textId="77777777" w:rsidR="00B62AF4" w:rsidRPr="009E3A67" w:rsidRDefault="00B62AF4" w:rsidP="00B62AF4">
      <w:pPr>
        <w:tabs>
          <w:tab w:val="left" w:pos="3630"/>
        </w:tabs>
        <w:jc w:val="center"/>
        <w:rPr>
          <w:rFonts w:ascii="Times New Roman" w:hAnsi="Times New Roman" w:cs="Times New Roman"/>
        </w:rPr>
      </w:pPr>
    </w:p>
    <w:p w14:paraId="03413EFC" w14:textId="77777777" w:rsidR="00B62AF4" w:rsidRPr="009E3A67" w:rsidRDefault="00B62AF4" w:rsidP="00B62AF4">
      <w:pPr>
        <w:tabs>
          <w:tab w:val="left" w:pos="3630"/>
        </w:tabs>
        <w:jc w:val="center"/>
        <w:rPr>
          <w:rFonts w:ascii="Times New Roman" w:hAnsi="Times New Roman" w:cs="Times New Roman"/>
        </w:rPr>
      </w:pPr>
    </w:p>
    <w:p w14:paraId="7919FAB2" w14:textId="77777777" w:rsidR="00B62AF4" w:rsidRPr="009E3A67" w:rsidRDefault="00B62AF4" w:rsidP="00B62AF4">
      <w:pPr>
        <w:tabs>
          <w:tab w:val="left" w:pos="3630"/>
        </w:tabs>
        <w:jc w:val="center"/>
        <w:rPr>
          <w:rFonts w:ascii="Times New Roman" w:hAnsi="Times New Roman" w:cs="Times New Roman"/>
        </w:rPr>
      </w:pPr>
    </w:p>
    <w:p w14:paraId="74B384DC" w14:textId="2743FCE2" w:rsidR="00B62AF4" w:rsidRPr="009E3A67" w:rsidRDefault="003452D9" w:rsidP="00B62AF4">
      <w:pPr>
        <w:tabs>
          <w:tab w:val="left" w:pos="3630"/>
        </w:tabs>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0" locked="0" layoutInCell="1" allowOverlap="1" wp14:anchorId="4AD65476" wp14:editId="7A564361">
            <wp:simplePos x="0" y="0"/>
            <wp:positionH relativeFrom="column">
              <wp:posOffset>-1080135</wp:posOffset>
            </wp:positionH>
            <wp:positionV relativeFrom="paragraph">
              <wp:posOffset>-1810385</wp:posOffset>
            </wp:positionV>
            <wp:extent cx="7848600" cy="11200130"/>
            <wp:effectExtent l="0" t="0" r="0" b="127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a de Livro Cristão Moderno Vermelho Bege e Branco.png"/>
                    <pic:cNvPicPr/>
                  </pic:nvPicPr>
                  <pic:blipFill>
                    <a:blip r:embed="rId10">
                      <a:extLst>
                        <a:ext uri="{28A0092B-C50C-407E-A947-70E740481C1C}">
                          <a14:useLocalDpi xmlns:a14="http://schemas.microsoft.com/office/drawing/2010/main" val="0"/>
                        </a:ext>
                      </a:extLst>
                    </a:blip>
                    <a:stretch>
                      <a:fillRect/>
                    </a:stretch>
                  </pic:blipFill>
                  <pic:spPr>
                    <a:xfrm>
                      <a:off x="0" y="0"/>
                      <a:ext cx="7848600" cy="11200130"/>
                    </a:xfrm>
                    <a:prstGeom prst="rect">
                      <a:avLst/>
                    </a:prstGeom>
                  </pic:spPr>
                </pic:pic>
              </a:graphicData>
            </a:graphic>
            <wp14:sizeRelH relativeFrom="margin">
              <wp14:pctWidth>0</wp14:pctWidth>
            </wp14:sizeRelH>
            <wp14:sizeRelV relativeFrom="margin">
              <wp14:pctHeight>0</wp14:pctHeight>
            </wp14:sizeRelV>
          </wp:anchor>
        </w:drawing>
      </w:r>
    </w:p>
    <w:p w14:paraId="72829ECD" w14:textId="406301C6" w:rsidR="00B62AF4" w:rsidRDefault="00B62AF4" w:rsidP="00B62AF4">
      <w:pPr>
        <w:tabs>
          <w:tab w:val="left" w:pos="3630"/>
        </w:tabs>
        <w:jc w:val="center"/>
        <w:rPr>
          <w:rFonts w:ascii="Times New Roman" w:hAnsi="Times New Roman" w:cs="Times New Roman"/>
        </w:rPr>
      </w:pPr>
    </w:p>
    <w:p w14:paraId="689F6F7A" w14:textId="4C731530" w:rsidR="00FB6B81" w:rsidRPr="009E3A67" w:rsidRDefault="00FB6B81" w:rsidP="00B62AF4">
      <w:pPr>
        <w:tabs>
          <w:tab w:val="left" w:pos="3630"/>
        </w:tabs>
        <w:jc w:val="center"/>
        <w:rPr>
          <w:rFonts w:ascii="Times New Roman" w:hAnsi="Times New Roman" w:cs="Times New Roman"/>
        </w:rPr>
      </w:pPr>
    </w:p>
    <w:p w14:paraId="18131277" w14:textId="1B9C1D6D" w:rsidR="00B62AF4" w:rsidRPr="009E3A67" w:rsidRDefault="00B62AF4" w:rsidP="00B62AF4">
      <w:pPr>
        <w:tabs>
          <w:tab w:val="left" w:pos="3630"/>
        </w:tabs>
        <w:jc w:val="center"/>
        <w:rPr>
          <w:rFonts w:ascii="Times New Roman" w:hAnsi="Times New Roman" w:cs="Times New Roman"/>
        </w:rPr>
      </w:pPr>
    </w:p>
    <w:p w14:paraId="2EB8199A" w14:textId="77777777" w:rsidR="00B62AF4" w:rsidRPr="009E3A67" w:rsidRDefault="00B62AF4" w:rsidP="00B62AF4">
      <w:pPr>
        <w:tabs>
          <w:tab w:val="left" w:pos="3630"/>
        </w:tabs>
        <w:jc w:val="center"/>
        <w:rPr>
          <w:rFonts w:ascii="Times New Roman" w:hAnsi="Times New Roman" w:cs="Times New Roman"/>
        </w:rPr>
      </w:pPr>
    </w:p>
    <w:p w14:paraId="67BAEF87" w14:textId="77777777" w:rsidR="00B62AF4" w:rsidRPr="009E3A67" w:rsidRDefault="00B62AF4" w:rsidP="00B62AF4">
      <w:pPr>
        <w:tabs>
          <w:tab w:val="left" w:pos="3630"/>
        </w:tabs>
        <w:jc w:val="center"/>
        <w:rPr>
          <w:rFonts w:ascii="Times New Roman" w:hAnsi="Times New Roman" w:cs="Times New Roman"/>
        </w:rPr>
      </w:pPr>
    </w:p>
    <w:p w14:paraId="0983EBEF" w14:textId="77777777" w:rsidR="00B62AF4" w:rsidRPr="009E3A67" w:rsidRDefault="00B62AF4" w:rsidP="00B62AF4">
      <w:pPr>
        <w:tabs>
          <w:tab w:val="left" w:pos="3630"/>
        </w:tabs>
        <w:jc w:val="center"/>
        <w:rPr>
          <w:rFonts w:ascii="Times New Roman" w:hAnsi="Times New Roman" w:cs="Times New Roman"/>
        </w:rPr>
      </w:pPr>
    </w:p>
    <w:p w14:paraId="24FED3CB" w14:textId="56CB29FC" w:rsidR="00B62AF4" w:rsidRDefault="00B62AF4" w:rsidP="00B62AF4">
      <w:pPr>
        <w:tabs>
          <w:tab w:val="left" w:pos="3630"/>
        </w:tabs>
        <w:jc w:val="center"/>
        <w:rPr>
          <w:rFonts w:ascii="Times New Roman" w:hAnsi="Times New Roman" w:cs="Times New Roman"/>
        </w:rPr>
      </w:pPr>
    </w:p>
    <w:p w14:paraId="4B169DF6" w14:textId="1624C49D" w:rsidR="00FB6B81" w:rsidRDefault="00FB6B81" w:rsidP="00B62AF4">
      <w:pPr>
        <w:tabs>
          <w:tab w:val="left" w:pos="3630"/>
        </w:tabs>
        <w:jc w:val="center"/>
        <w:rPr>
          <w:rFonts w:ascii="Times New Roman" w:hAnsi="Times New Roman" w:cs="Times New Roman"/>
        </w:rPr>
      </w:pPr>
    </w:p>
    <w:p w14:paraId="24D93B5F" w14:textId="3E3D8C3A" w:rsidR="00FB6B81" w:rsidRDefault="00FB6B81" w:rsidP="00B62AF4">
      <w:pPr>
        <w:tabs>
          <w:tab w:val="left" w:pos="3630"/>
        </w:tabs>
        <w:jc w:val="center"/>
        <w:rPr>
          <w:rFonts w:ascii="Times New Roman" w:hAnsi="Times New Roman" w:cs="Times New Roman"/>
        </w:rPr>
      </w:pPr>
    </w:p>
    <w:p w14:paraId="5A396CC1" w14:textId="31B92818" w:rsidR="00FB6B81" w:rsidRDefault="00FB6B81" w:rsidP="00B62AF4">
      <w:pPr>
        <w:tabs>
          <w:tab w:val="left" w:pos="3630"/>
        </w:tabs>
        <w:jc w:val="center"/>
        <w:rPr>
          <w:rFonts w:ascii="Times New Roman" w:hAnsi="Times New Roman" w:cs="Times New Roman"/>
        </w:rPr>
      </w:pPr>
    </w:p>
    <w:p w14:paraId="103AB0DB" w14:textId="2246D5EE" w:rsidR="00FB6B81" w:rsidRDefault="00FB6B81" w:rsidP="00B62AF4">
      <w:pPr>
        <w:tabs>
          <w:tab w:val="left" w:pos="3630"/>
        </w:tabs>
        <w:jc w:val="center"/>
        <w:rPr>
          <w:rFonts w:ascii="Times New Roman" w:hAnsi="Times New Roman" w:cs="Times New Roman"/>
        </w:rPr>
      </w:pPr>
    </w:p>
    <w:p w14:paraId="1289C7EE" w14:textId="7B9F0E9E" w:rsidR="00FB6B81" w:rsidRDefault="00FB6B81" w:rsidP="00B62AF4">
      <w:pPr>
        <w:tabs>
          <w:tab w:val="left" w:pos="3630"/>
        </w:tabs>
        <w:jc w:val="center"/>
        <w:rPr>
          <w:rFonts w:ascii="Times New Roman" w:hAnsi="Times New Roman" w:cs="Times New Roman"/>
        </w:rPr>
      </w:pPr>
    </w:p>
    <w:p w14:paraId="2000B4EB" w14:textId="66C85FC1" w:rsidR="00FB6B81" w:rsidRDefault="00FB6B81" w:rsidP="00B62AF4">
      <w:pPr>
        <w:tabs>
          <w:tab w:val="left" w:pos="3630"/>
        </w:tabs>
        <w:jc w:val="center"/>
        <w:rPr>
          <w:rFonts w:ascii="Times New Roman" w:hAnsi="Times New Roman" w:cs="Times New Roman"/>
        </w:rPr>
      </w:pPr>
    </w:p>
    <w:p w14:paraId="300E614E" w14:textId="30711A44" w:rsidR="00FB6B81" w:rsidRDefault="00FB6B81" w:rsidP="00B62AF4">
      <w:pPr>
        <w:tabs>
          <w:tab w:val="left" w:pos="3630"/>
        </w:tabs>
        <w:jc w:val="center"/>
        <w:rPr>
          <w:rFonts w:ascii="Times New Roman" w:hAnsi="Times New Roman" w:cs="Times New Roman"/>
        </w:rPr>
      </w:pPr>
    </w:p>
    <w:p w14:paraId="7E0974D2" w14:textId="0C88DD4E" w:rsidR="00FB6B81" w:rsidRDefault="00FB6B81" w:rsidP="00B62AF4">
      <w:pPr>
        <w:tabs>
          <w:tab w:val="left" w:pos="3630"/>
        </w:tabs>
        <w:jc w:val="center"/>
        <w:rPr>
          <w:rFonts w:ascii="Times New Roman" w:hAnsi="Times New Roman" w:cs="Times New Roman"/>
        </w:rPr>
      </w:pPr>
    </w:p>
    <w:p w14:paraId="799EAC0F" w14:textId="3BBDF9A3" w:rsidR="00FB6B81" w:rsidRDefault="00FB6B81" w:rsidP="00B62AF4">
      <w:pPr>
        <w:tabs>
          <w:tab w:val="left" w:pos="3630"/>
        </w:tabs>
        <w:jc w:val="center"/>
        <w:rPr>
          <w:rFonts w:ascii="Times New Roman" w:hAnsi="Times New Roman" w:cs="Times New Roman"/>
        </w:rPr>
      </w:pPr>
    </w:p>
    <w:p w14:paraId="021EAAD3" w14:textId="14ABE03E" w:rsidR="00FB6B81" w:rsidRDefault="00FB6B81" w:rsidP="00B62AF4">
      <w:pPr>
        <w:tabs>
          <w:tab w:val="left" w:pos="3630"/>
        </w:tabs>
        <w:jc w:val="center"/>
        <w:rPr>
          <w:rFonts w:ascii="Times New Roman" w:hAnsi="Times New Roman" w:cs="Times New Roman"/>
        </w:rPr>
      </w:pPr>
    </w:p>
    <w:p w14:paraId="20C6718F" w14:textId="4A4AD6AC" w:rsidR="00FB6B81" w:rsidRDefault="00FB6B81" w:rsidP="00B62AF4">
      <w:pPr>
        <w:tabs>
          <w:tab w:val="left" w:pos="3630"/>
        </w:tabs>
        <w:jc w:val="center"/>
        <w:rPr>
          <w:rFonts w:ascii="Times New Roman" w:hAnsi="Times New Roman" w:cs="Times New Roman"/>
        </w:rPr>
      </w:pPr>
    </w:p>
    <w:p w14:paraId="341A5FC0" w14:textId="5574DF13" w:rsidR="00FB6B81" w:rsidRDefault="00FB6B81" w:rsidP="00B62AF4">
      <w:pPr>
        <w:tabs>
          <w:tab w:val="left" w:pos="3630"/>
        </w:tabs>
        <w:jc w:val="center"/>
        <w:rPr>
          <w:rFonts w:ascii="Times New Roman" w:hAnsi="Times New Roman" w:cs="Times New Roman"/>
        </w:rPr>
      </w:pPr>
    </w:p>
    <w:p w14:paraId="7F9EB178" w14:textId="49E23CA0" w:rsidR="00FB6B81" w:rsidRDefault="00FB6B81" w:rsidP="00B62AF4">
      <w:pPr>
        <w:tabs>
          <w:tab w:val="left" w:pos="3630"/>
        </w:tabs>
        <w:jc w:val="center"/>
        <w:rPr>
          <w:rFonts w:ascii="Times New Roman" w:hAnsi="Times New Roman" w:cs="Times New Roman"/>
        </w:rPr>
      </w:pPr>
    </w:p>
    <w:p w14:paraId="073C96AD" w14:textId="2AF37A48" w:rsidR="00FB6B81" w:rsidRDefault="00FB6B81" w:rsidP="00B62AF4">
      <w:pPr>
        <w:tabs>
          <w:tab w:val="left" w:pos="3630"/>
        </w:tabs>
        <w:jc w:val="center"/>
        <w:rPr>
          <w:rFonts w:ascii="Times New Roman" w:hAnsi="Times New Roman" w:cs="Times New Roman"/>
        </w:rPr>
      </w:pPr>
    </w:p>
    <w:p w14:paraId="59A6F698" w14:textId="562EC347" w:rsidR="00FB6B81" w:rsidRDefault="00FB6B81" w:rsidP="00B62AF4">
      <w:pPr>
        <w:tabs>
          <w:tab w:val="left" w:pos="3630"/>
        </w:tabs>
        <w:jc w:val="center"/>
        <w:rPr>
          <w:rFonts w:ascii="Times New Roman" w:hAnsi="Times New Roman" w:cs="Times New Roman"/>
        </w:rPr>
      </w:pPr>
    </w:p>
    <w:p w14:paraId="5B0657C7" w14:textId="73769B47" w:rsidR="00FB6B81" w:rsidRDefault="00FB6B81" w:rsidP="00B62AF4">
      <w:pPr>
        <w:tabs>
          <w:tab w:val="left" w:pos="3630"/>
        </w:tabs>
        <w:jc w:val="center"/>
        <w:rPr>
          <w:rFonts w:ascii="Times New Roman" w:hAnsi="Times New Roman" w:cs="Times New Roman"/>
        </w:rPr>
      </w:pPr>
    </w:p>
    <w:p w14:paraId="282FEA75" w14:textId="476BE55B" w:rsidR="00FB6B81" w:rsidRDefault="00FB6B81" w:rsidP="00B62AF4">
      <w:pPr>
        <w:tabs>
          <w:tab w:val="left" w:pos="3630"/>
        </w:tabs>
        <w:jc w:val="center"/>
        <w:rPr>
          <w:rFonts w:ascii="Times New Roman" w:hAnsi="Times New Roman" w:cs="Times New Roman"/>
        </w:rPr>
      </w:pPr>
    </w:p>
    <w:p w14:paraId="114AB219" w14:textId="59C1DC85" w:rsidR="00FB6B81" w:rsidRDefault="00FB6B81" w:rsidP="00B62AF4">
      <w:pPr>
        <w:tabs>
          <w:tab w:val="left" w:pos="3630"/>
        </w:tabs>
        <w:jc w:val="center"/>
        <w:rPr>
          <w:rFonts w:ascii="Times New Roman" w:hAnsi="Times New Roman" w:cs="Times New Roman"/>
        </w:rPr>
      </w:pPr>
    </w:p>
    <w:p w14:paraId="7D35CE01" w14:textId="0BCBF636" w:rsidR="00FB6B81" w:rsidRDefault="00FB6B81" w:rsidP="00B62AF4">
      <w:pPr>
        <w:tabs>
          <w:tab w:val="left" w:pos="3630"/>
        </w:tabs>
        <w:jc w:val="center"/>
        <w:rPr>
          <w:rFonts w:ascii="Times New Roman" w:hAnsi="Times New Roman" w:cs="Times New Roman"/>
        </w:rPr>
      </w:pPr>
    </w:p>
    <w:p w14:paraId="2AB1238D" w14:textId="1E769A11" w:rsidR="00FB6B81" w:rsidRDefault="00FB6B81" w:rsidP="00B62AF4">
      <w:pPr>
        <w:tabs>
          <w:tab w:val="left" w:pos="3630"/>
        </w:tabs>
        <w:jc w:val="center"/>
        <w:rPr>
          <w:rFonts w:ascii="Times New Roman" w:hAnsi="Times New Roman" w:cs="Times New Roman"/>
        </w:rPr>
      </w:pPr>
    </w:p>
    <w:p w14:paraId="470141FC" w14:textId="77777777" w:rsidR="00FB6B81" w:rsidRPr="009E3A67" w:rsidRDefault="00FB6B81" w:rsidP="00B62AF4">
      <w:pPr>
        <w:tabs>
          <w:tab w:val="left" w:pos="3630"/>
        </w:tabs>
        <w:jc w:val="center"/>
        <w:rPr>
          <w:rFonts w:ascii="Times New Roman" w:hAnsi="Times New Roman" w:cs="Times New Roman"/>
        </w:rPr>
      </w:pPr>
    </w:p>
    <w:p w14:paraId="16301A63" w14:textId="4BBE75C8" w:rsidR="00D969C8" w:rsidRPr="009E3A67" w:rsidRDefault="00D969C8" w:rsidP="00D969C8">
      <w:pPr>
        <w:pStyle w:val="SemEspaamento"/>
        <w:ind w:firstLine="709"/>
        <w:jc w:val="center"/>
        <w:rPr>
          <w:rFonts w:ascii="Times New Roman" w:hAnsi="Times New Roman" w:cs="Times New Roman"/>
          <w:b/>
          <w:bCs/>
          <w:sz w:val="28"/>
          <w:szCs w:val="28"/>
        </w:rPr>
      </w:pPr>
      <w:bookmarkStart w:id="1" w:name="_Hlk207978088"/>
      <w:r w:rsidRPr="009E3A67">
        <w:rPr>
          <w:rFonts w:ascii="Times New Roman" w:hAnsi="Times New Roman" w:cs="Times New Roman"/>
          <w:b/>
          <w:bCs/>
          <w:sz w:val="28"/>
          <w:szCs w:val="28"/>
        </w:rPr>
        <w:t>“ANARQUISMO DA SUBJETIVIDADE” DE SAUL NEWMAN: A SUBJETIVIDADE PÓS-ANARQUISTA</w:t>
      </w:r>
    </w:p>
    <w:p w14:paraId="70EDF338" w14:textId="77777777" w:rsidR="00D969C8" w:rsidRPr="009E3A67" w:rsidRDefault="00D969C8" w:rsidP="00D969C8">
      <w:pPr>
        <w:pStyle w:val="SemEspaamento"/>
        <w:spacing w:line="360" w:lineRule="auto"/>
        <w:ind w:firstLine="709"/>
        <w:jc w:val="center"/>
        <w:rPr>
          <w:rFonts w:ascii="Times New Roman" w:hAnsi="Times New Roman" w:cs="Times New Roman"/>
          <w:b/>
          <w:bCs/>
          <w:sz w:val="28"/>
          <w:szCs w:val="28"/>
        </w:rPr>
      </w:pPr>
    </w:p>
    <w:p w14:paraId="4C991FE8" w14:textId="7815DFD4" w:rsidR="00D969C8" w:rsidRPr="009E3A67" w:rsidRDefault="00D969C8" w:rsidP="00D969C8">
      <w:pPr>
        <w:pStyle w:val="SemEspaamento"/>
        <w:ind w:firstLine="709"/>
        <w:jc w:val="center"/>
        <w:rPr>
          <w:rFonts w:ascii="Times New Roman" w:hAnsi="Times New Roman" w:cs="Times New Roman"/>
          <w:b/>
          <w:sz w:val="28"/>
          <w:szCs w:val="28"/>
        </w:rPr>
      </w:pPr>
      <w:r w:rsidRPr="009E3A67">
        <w:rPr>
          <w:rFonts w:ascii="Times New Roman" w:hAnsi="Times New Roman" w:cs="Times New Roman"/>
          <w:b/>
          <w:bCs/>
          <w:sz w:val="28"/>
          <w:szCs w:val="28"/>
        </w:rPr>
        <w:t>SAUL NEWMAN’S “ANARCHISM OF SUBJECTIVITY”: POST-ANARCHIST SUBJECTIVITY</w:t>
      </w:r>
    </w:p>
    <w:p w14:paraId="7A38C8E4" w14:textId="6F7FBCD9" w:rsidR="00D969C8" w:rsidRPr="009E3A67" w:rsidRDefault="00D969C8" w:rsidP="00D969C8">
      <w:pPr>
        <w:rPr>
          <w:rFonts w:ascii="Times New Roman" w:hAnsi="Times New Roman" w:cs="Times New Roman"/>
          <w:sz w:val="28"/>
          <w:szCs w:val="28"/>
          <w:lang w:val="pt-PT"/>
        </w:rPr>
      </w:pPr>
    </w:p>
    <w:p w14:paraId="31490A5C" w14:textId="19348516" w:rsidR="00D969C8" w:rsidRPr="009E3A67" w:rsidRDefault="00D969C8" w:rsidP="00D969C8">
      <w:pPr>
        <w:tabs>
          <w:tab w:val="left" w:pos="4755"/>
        </w:tabs>
        <w:rPr>
          <w:rFonts w:ascii="Times New Roman" w:hAnsi="Times New Roman" w:cs="Times New Roman"/>
          <w:sz w:val="24"/>
          <w:szCs w:val="24"/>
          <w:shd w:val="clear" w:color="auto" w:fill="FFFFFF"/>
        </w:rPr>
      </w:pPr>
      <w:r w:rsidRPr="009E3A67">
        <w:rPr>
          <w:rFonts w:ascii="Times New Roman" w:hAnsi="Times New Roman" w:cs="Times New Roman"/>
          <w:lang w:val="pt-PT"/>
        </w:rPr>
        <w:tab/>
        <w:t xml:space="preserve">                          </w:t>
      </w:r>
      <w:r w:rsidRPr="009E3A67">
        <w:rPr>
          <w:rFonts w:ascii="Times New Roman" w:hAnsi="Times New Roman" w:cs="Times New Roman"/>
          <w:sz w:val="24"/>
          <w:szCs w:val="24"/>
          <w:shd w:val="clear" w:color="auto" w:fill="FFFFFF"/>
        </w:rPr>
        <w:t>Ricardo Mendes Mattos</w:t>
      </w:r>
    </w:p>
    <w:p w14:paraId="241D1AE2" w14:textId="107E8352" w:rsidR="00D969C8" w:rsidRPr="009E3A67" w:rsidRDefault="00D969C8" w:rsidP="003C5B38">
      <w:pPr>
        <w:tabs>
          <w:tab w:val="left" w:pos="4755"/>
        </w:tabs>
        <w:spacing w:after="0" w:line="360" w:lineRule="auto"/>
        <w:ind w:left="2268"/>
        <w:jc w:val="both"/>
        <w:rPr>
          <w:rFonts w:ascii="Times New Roman" w:hAnsi="Times New Roman" w:cs="Times New Roman"/>
          <w:b/>
          <w:sz w:val="24"/>
          <w:szCs w:val="24"/>
        </w:rPr>
      </w:pPr>
      <w:r w:rsidRPr="009E3A67">
        <w:rPr>
          <w:rFonts w:ascii="Times New Roman" w:hAnsi="Times New Roman" w:cs="Times New Roman"/>
          <w:sz w:val="24"/>
          <w:szCs w:val="24"/>
          <w:shd w:val="clear" w:color="auto" w:fill="FFFFFF"/>
        </w:rPr>
        <w:t>Doutor em Psicologia Social pelo Instituto de Psicologia da Universidade de São Paulo, com a tese “Roberto Piva: derivas políticas, devires eróticos &amp; delírios místicos”. Pesquisa as relações entre os anarquismos e as psicologias, com ênfase na criação de subjetividades subversivas.</w:t>
      </w:r>
    </w:p>
    <w:p w14:paraId="1B2ED03D" w14:textId="77777777" w:rsidR="00D969C8" w:rsidRPr="009E3A67" w:rsidRDefault="00D969C8" w:rsidP="00D969C8">
      <w:pPr>
        <w:pStyle w:val="SemEspaamento"/>
        <w:spacing w:line="360" w:lineRule="auto"/>
        <w:jc w:val="both"/>
        <w:rPr>
          <w:rFonts w:ascii="Times New Roman" w:hAnsi="Times New Roman" w:cs="Times New Roman"/>
        </w:rPr>
      </w:pPr>
    </w:p>
    <w:p w14:paraId="46A8F163" w14:textId="77777777" w:rsidR="00D969C8" w:rsidRPr="009E3A67" w:rsidRDefault="00D969C8" w:rsidP="00D969C8">
      <w:pPr>
        <w:pStyle w:val="SemEspaamento"/>
        <w:jc w:val="both"/>
        <w:rPr>
          <w:rFonts w:ascii="Times New Roman" w:hAnsi="Times New Roman" w:cs="Times New Roman"/>
        </w:rPr>
      </w:pPr>
    </w:p>
    <w:p w14:paraId="15086E07" w14:textId="77777777" w:rsidR="00D969C8" w:rsidRPr="009E3A67" w:rsidRDefault="00D969C8" w:rsidP="00D969C8">
      <w:pPr>
        <w:pStyle w:val="SemEspaamento"/>
        <w:jc w:val="both"/>
        <w:rPr>
          <w:rFonts w:ascii="Times New Roman" w:hAnsi="Times New Roman" w:cs="Times New Roman"/>
        </w:rPr>
      </w:pPr>
    </w:p>
    <w:p w14:paraId="48217255" w14:textId="77777777" w:rsidR="00D969C8" w:rsidRPr="009E3A67" w:rsidRDefault="00D969C8" w:rsidP="00D969C8">
      <w:pPr>
        <w:pStyle w:val="SemEspaamento"/>
        <w:jc w:val="both"/>
        <w:rPr>
          <w:rFonts w:ascii="Times New Roman" w:hAnsi="Times New Roman" w:cs="Times New Roman"/>
        </w:rPr>
      </w:pPr>
    </w:p>
    <w:p w14:paraId="2329CD3D" w14:textId="77777777" w:rsidR="00D969C8" w:rsidRPr="009E3A67" w:rsidRDefault="00D969C8" w:rsidP="00D969C8">
      <w:pPr>
        <w:pStyle w:val="SemEspaamento"/>
        <w:jc w:val="both"/>
        <w:rPr>
          <w:rFonts w:ascii="Times New Roman" w:hAnsi="Times New Roman" w:cs="Times New Roman"/>
        </w:rPr>
      </w:pPr>
    </w:p>
    <w:p w14:paraId="1EE963B2" w14:textId="77777777" w:rsidR="00D969C8" w:rsidRPr="009E3A67" w:rsidRDefault="00D969C8" w:rsidP="00D969C8">
      <w:pPr>
        <w:pStyle w:val="SemEspaamento"/>
        <w:jc w:val="both"/>
        <w:rPr>
          <w:rFonts w:ascii="Times New Roman" w:hAnsi="Times New Roman" w:cs="Times New Roman"/>
        </w:rPr>
      </w:pPr>
    </w:p>
    <w:p w14:paraId="4196CA82" w14:textId="77777777" w:rsidR="00D969C8" w:rsidRPr="009E3A67" w:rsidRDefault="00D969C8" w:rsidP="00D969C8">
      <w:pPr>
        <w:pStyle w:val="SemEspaamento"/>
        <w:jc w:val="both"/>
        <w:rPr>
          <w:rFonts w:ascii="Times New Roman" w:hAnsi="Times New Roman" w:cs="Times New Roman"/>
        </w:rPr>
      </w:pPr>
    </w:p>
    <w:p w14:paraId="4AD05A66" w14:textId="77777777" w:rsidR="00D969C8" w:rsidRPr="009E3A67" w:rsidRDefault="00D969C8" w:rsidP="00D969C8">
      <w:pPr>
        <w:pStyle w:val="SemEspaamento"/>
        <w:jc w:val="both"/>
        <w:rPr>
          <w:rFonts w:ascii="Times New Roman" w:hAnsi="Times New Roman" w:cs="Times New Roman"/>
        </w:rPr>
      </w:pPr>
    </w:p>
    <w:p w14:paraId="5914547F" w14:textId="77777777" w:rsidR="00D969C8" w:rsidRPr="009E3A67" w:rsidRDefault="00D969C8" w:rsidP="00D969C8">
      <w:pPr>
        <w:pStyle w:val="SemEspaamento"/>
        <w:jc w:val="both"/>
        <w:rPr>
          <w:rFonts w:ascii="Times New Roman" w:hAnsi="Times New Roman" w:cs="Times New Roman"/>
        </w:rPr>
      </w:pPr>
    </w:p>
    <w:p w14:paraId="545FC8DD" w14:textId="77777777" w:rsidR="00D969C8" w:rsidRPr="009E3A67" w:rsidRDefault="00D969C8" w:rsidP="00D969C8">
      <w:pPr>
        <w:pStyle w:val="SemEspaamento"/>
        <w:jc w:val="both"/>
        <w:rPr>
          <w:rFonts w:ascii="Times New Roman" w:hAnsi="Times New Roman" w:cs="Times New Roman"/>
        </w:rPr>
      </w:pPr>
    </w:p>
    <w:p w14:paraId="7EE61576" w14:textId="77777777" w:rsidR="00D969C8" w:rsidRPr="009E3A67" w:rsidRDefault="00D969C8" w:rsidP="00D969C8">
      <w:pPr>
        <w:pStyle w:val="SemEspaamento"/>
        <w:jc w:val="both"/>
        <w:rPr>
          <w:rFonts w:ascii="Times New Roman" w:hAnsi="Times New Roman" w:cs="Times New Roman"/>
        </w:rPr>
      </w:pPr>
    </w:p>
    <w:p w14:paraId="2DCC9A7F" w14:textId="77777777" w:rsidR="00D969C8" w:rsidRPr="009E3A67" w:rsidRDefault="00D969C8" w:rsidP="00D969C8">
      <w:pPr>
        <w:pStyle w:val="SemEspaamento"/>
        <w:jc w:val="both"/>
        <w:rPr>
          <w:rFonts w:ascii="Times New Roman" w:hAnsi="Times New Roman" w:cs="Times New Roman"/>
        </w:rPr>
      </w:pPr>
    </w:p>
    <w:p w14:paraId="16A43C1D" w14:textId="77777777" w:rsidR="00D969C8" w:rsidRPr="009E3A67" w:rsidRDefault="00D969C8" w:rsidP="00D969C8">
      <w:pPr>
        <w:pStyle w:val="SemEspaamento"/>
        <w:jc w:val="both"/>
        <w:rPr>
          <w:rFonts w:ascii="Times New Roman" w:hAnsi="Times New Roman" w:cs="Times New Roman"/>
        </w:rPr>
      </w:pPr>
    </w:p>
    <w:p w14:paraId="438D9987" w14:textId="77777777" w:rsidR="00D969C8" w:rsidRPr="009E3A67" w:rsidRDefault="00D969C8" w:rsidP="00D969C8">
      <w:pPr>
        <w:pStyle w:val="SemEspaamento"/>
        <w:jc w:val="both"/>
        <w:rPr>
          <w:rFonts w:ascii="Times New Roman" w:hAnsi="Times New Roman" w:cs="Times New Roman"/>
        </w:rPr>
      </w:pPr>
    </w:p>
    <w:p w14:paraId="1C0AA0BB" w14:textId="77777777" w:rsidR="00D969C8" w:rsidRPr="009E3A67" w:rsidRDefault="00D969C8" w:rsidP="00D969C8">
      <w:pPr>
        <w:pStyle w:val="SemEspaamento"/>
        <w:jc w:val="both"/>
        <w:rPr>
          <w:rFonts w:ascii="Times New Roman" w:hAnsi="Times New Roman" w:cs="Times New Roman"/>
        </w:rPr>
      </w:pPr>
    </w:p>
    <w:p w14:paraId="42C6AC71" w14:textId="77777777" w:rsidR="00D969C8" w:rsidRPr="009E3A67" w:rsidRDefault="00D969C8" w:rsidP="00D969C8">
      <w:pPr>
        <w:pStyle w:val="SemEspaamento"/>
        <w:jc w:val="both"/>
        <w:rPr>
          <w:rFonts w:ascii="Times New Roman" w:hAnsi="Times New Roman" w:cs="Times New Roman"/>
        </w:rPr>
      </w:pPr>
    </w:p>
    <w:p w14:paraId="51FCB5BB" w14:textId="77777777" w:rsidR="00D969C8" w:rsidRPr="009E3A67" w:rsidRDefault="00D969C8" w:rsidP="00D969C8">
      <w:pPr>
        <w:pStyle w:val="SemEspaamento"/>
        <w:jc w:val="both"/>
        <w:rPr>
          <w:rFonts w:ascii="Times New Roman" w:hAnsi="Times New Roman" w:cs="Times New Roman"/>
        </w:rPr>
      </w:pPr>
    </w:p>
    <w:p w14:paraId="4333518E" w14:textId="77777777" w:rsidR="003452D9" w:rsidRDefault="003452D9" w:rsidP="00D969C8">
      <w:pPr>
        <w:pStyle w:val="SemEspaamento"/>
        <w:spacing w:after="240"/>
        <w:jc w:val="center"/>
        <w:rPr>
          <w:rFonts w:ascii="Times New Roman" w:hAnsi="Times New Roman" w:cs="Times New Roman"/>
          <w:b/>
          <w:sz w:val="24"/>
          <w:szCs w:val="24"/>
        </w:rPr>
      </w:pPr>
    </w:p>
    <w:p w14:paraId="1DB44F6F" w14:textId="77777777" w:rsidR="003452D9" w:rsidRDefault="003452D9" w:rsidP="00D969C8">
      <w:pPr>
        <w:pStyle w:val="SemEspaamento"/>
        <w:spacing w:after="240"/>
        <w:jc w:val="center"/>
        <w:rPr>
          <w:rFonts w:ascii="Times New Roman" w:hAnsi="Times New Roman" w:cs="Times New Roman"/>
          <w:b/>
          <w:sz w:val="24"/>
          <w:szCs w:val="24"/>
        </w:rPr>
      </w:pPr>
    </w:p>
    <w:p w14:paraId="342DB16D" w14:textId="77777777" w:rsidR="003452D9" w:rsidRDefault="003452D9" w:rsidP="00D969C8">
      <w:pPr>
        <w:pStyle w:val="SemEspaamento"/>
        <w:spacing w:after="240"/>
        <w:jc w:val="center"/>
        <w:rPr>
          <w:rFonts w:ascii="Times New Roman" w:hAnsi="Times New Roman" w:cs="Times New Roman"/>
          <w:b/>
          <w:sz w:val="24"/>
          <w:szCs w:val="24"/>
        </w:rPr>
      </w:pPr>
    </w:p>
    <w:p w14:paraId="0B27D2E8" w14:textId="77777777" w:rsidR="003452D9" w:rsidRDefault="003452D9" w:rsidP="00D969C8">
      <w:pPr>
        <w:pStyle w:val="SemEspaamento"/>
        <w:spacing w:after="240"/>
        <w:jc w:val="center"/>
        <w:rPr>
          <w:rFonts w:ascii="Times New Roman" w:hAnsi="Times New Roman" w:cs="Times New Roman"/>
          <w:b/>
          <w:sz w:val="24"/>
          <w:szCs w:val="24"/>
        </w:rPr>
      </w:pPr>
    </w:p>
    <w:p w14:paraId="5FB8C61E" w14:textId="77777777" w:rsidR="003452D9" w:rsidRDefault="003452D9" w:rsidP="00D969C8">
      <w:pPr>
        <w:pStyle w:val="SemEspaamento"/>
        <w:spacing w:after="240"/>
        <w:jc w:val="center"/>
        <w:rPr>
          <w:rFonts w:ascii="Times New Roman" w:hAnsi="Times New Roman" w:cs="Times New Roman"/>
          <w:b/>
          <w:sz w:val="24"/>
          <w:szCs w:val="24"/>
        </w:rPr>
      </w:pPr>
    </w:p>
    <w:p w14:paraId="52DE0EC4" w14:textId="77777777" w:rsidR="003452D9" w:rsidRDefault="003452D9" w:rsidP="00D969C8">
      <w:pPr>
        <w:pStyle w:val="SemEspaamento"/>
        <w:spacing w:after="240"/>
        <w:jc w:val="center"/>
        <w:rPr>
          <w:rFonts w:ascii="Times New Roman" w:hAnsi="Times New Roman" w:cs="Times New Roman"/>
          <w:b/>
          <w:sz w:val="24"/>
          <w:szCs w:val="24"/>
        </w:rPr>
      </w:pPr>
    </w:p>
    <w:p w14:paraId="331C6D0E" w14:textId="77777777" w:rsidR="003452D9" w:rsidRDefault="003452D9" w:rsidP="00D969C8">
      <w:pPr>
        <w:pStyle w:val="SemEspaamento"/>
        <w:spacing w:after="240"/>
        <w:jc w:val="center"/>
        <w:rPr>
          <w:rFonts w:ascii="Times New Roman" w:hAnsi="Times New Roman" w:cs="Times New Roman"/>
          <w:b/>
          <w:sz w:val="24"/>
          <w:szCs w:val="24"/>
        </w:rPr>
      </w:pPr>
    </w:p>
    <w:p w14:paraId="10CBBD21" w14:textId="2BE96034" w:rsidR="00D969C8" w:rsidRPr="009E3A67" w:rsidRDefault="00D969C8" w:rsidP="00D969C8">
      <w:pPr>
        <w:pStyle w:val="SemEspaamento"/>
        <w:spacing w:after="240"/>
        <w:jc w:val="center"/>
        <w:rPr>
          <w:rFonts w:ascii="Times New Roman" w:hAnsi="Times New Roman" w:cs="Times New Roman"/>
          <w:b/>
          <w:sz w:val="24"/>
          <w:szCs w:val="24"/>
        </w:rPr>
      </w:pPr>
      <w:r w:rsidRPr="009E3A67">
        <w:rPr>
          <w:rFonts w:ascii="Times New Roman" w:hAnsi="Times New Roman" w:cs="Times New Roman"/>
          <w:b/>
          <w:sz w:val="24"/>
          <w:szCs w:val="24"/>
        </w:rPr>
        <w:t>RESUMO</w:t>
      </w:r>
    </w:p>
    <w:p w14:paraId="27E3246A" w14:textId="1E8FE187" w:rsidR="00D969C8" w:rsidRPr="009E3A67" w:rsidRDefault="00D969C8" w:rsidP="00D969C8">
      <w:pPr>
        <w:pStyle w:val="SemEspaamento"/>
        <w:spacing w:after="240"/>
        <w:jc w:val="both"/>
        <w:rPr>
          <w:rFonts w:ascii="Times New Roman" w:hAnsi="Times New Roman" w:cs="Times New Roman"/>
          <w:sz w:val="24"/>
          <w:szCs w:val="24"/>
        </w:rPr>
      </w:pPr>
      <w:r w:rsidRPr="009E3A67">
        <w:rPr>
          <w:rFonts w:ascii="Times New Roman" w:hAnsi="Times New Roman" w:cs="Times New Roman"/>
        </w:rPr>
        <w:t xml:space="preserve"> </w:t>
      </w:r>
      <w:r w:rsidRPr="009E3A67">
        <w:rPr>
          <w:rFonts w:ascii="Times New Roman" w:hAnsi="Times New Roman" w:cs="Times New Roman"/>
          <w:sz w:val="24"/>
          <w:szCs w:val="24"/>
        </w:rPr>
        <w:t>A partir de um estudo teórico, analisa-se o conceito de subjetividade no pós-anarquismo de Saul Newman, em suas dimensões individual, coletiva e ontológica. Parte-se da crítica à subjetividade essencialista, característica dos anarquismos clássicos, influenciados pela moralidade e racionalidade típicas do humanismo iluminista. Por conseguinte, a subjetividade insurreta visa destruir prescrições essencialistas e inaugurar um vazio, a partir do qual o indivíduo reinventa a si mesmo em um devir criativo. Igualmente, a subjetividade coletiva radical, como agente da transformação social, destrona a natureza humana imaculada pelo poder com a pluralidade de perspectivas de ações diretas, horizontais e antiautoritárias. Por fim, as subjetividades individuais e coletivas dão ensejo à anarquia ontológica, marcada pela ausência de princípios e propósitos pré-determinados, que enseja a liberdade de autodeterminação dos indivíduos e coletivos. Faz-se a crítica à subjetividade pós-anarquista a partir de sua tendência ao subjetivismo, dos impasses morais de uma subjetividade autodisciplinada e da inclinação, contraditória, para uma ontologia essencialista.</w:t>
      </w:r>
    </w:p>
    <w:p w14:paraId="4C3BE0D8" w14:textId="5AE7E280" w:rsidR="00D969C8" w:rsidRPr="009E3A67" w:rsidRDefault="00D969C8" w:rsidP="00D969C8">
      <w:pPr>
        <w:pStyle w:val="SemEspaamento"/>
        <w:spacing w:before="240"/>
        <w:jc w:val="both"/>
        <w:rPr>
          <w:rFonts w:ascii="Times New Roman" w:hAnsi="Times New Roman" w:cs="Times New Roman"/>
          <w:b/>
          <w:sz w:val="24"/>
          <w:szCs w:val="24"/>
        </w:rPr>
      </w:pPr>
      <w:r w:rsidRPr="009E3A67">
        <w:rPr>
          <w:rFonts w:ascii="Times New Roman" w:hAnsi="Times New Roman" w:cs="Times New Roman"/>
          <w:b/>
          <w:sz w:val="24"/>
          <w:szCs w:val="24"/>
        </w:rPr>
        <w:t>PALAVRAS-CHAVE</w:t>
      </w:r>
    </w:p>
    <w:p w14:paraId="4FF8B42C" w14:textId="1C14277E" w:rsidR="00D969C8" w:rsidRPr="009E3A67" w:rsidRDefault="00D969C8" w:rsidP="00D969C8">
      <w:pPr>
        <w:pStyle w:val="SemEspaamento"/>
        <w:spacing w:before="240"/>
        <w:jc w:val="both"/>
        <w:rPr>
          <w:rFonts w:ascii="Times New Roman" w:hAnsi="Times New Roman" w:cs="Times New Roman"/>
        </w:rPr>
      </w:pPr>
      <w:r w:rsidRPr="009E3A67">
        <w:rPr>
          <w:rFonts w:ascii="Times New Roman" w:hAnsi="Times New Roman" w:cs="Times New Roman"/>
        </w:rPr>
        <w:t xml:space="preserve">Anarquismo; Subjetividade; Pós-Anarquismo; Ontologia Anarquista; Saul Newman.   </w:t>
      </w:r>
    </w:p>
    <w:p w14:paraId="1324E8A2" w14:textId="77777777" w:rsidR="00D969C8" w:rsidRPr="009E3A67" w:rsidRDefault="00D969C8" w:rsidP="00D969C8">
      <w:pPr>
        <w:pStyle w:val="SemEspaamento"/>
        <w:ind w:firstLine="709"/>
        <w:jc w:val="both"/>
        <w:rPr>
          <w:rFonts w:ascii="Times New Roman" w:hAnsi="Times New Roman" w:cs="Times New Roman"/>
          <w:b/>
          <w:bCs/>
        </w:rPr>
      </w:pPr>
    </w:p>
    <w:p w14:paraId="6935AA80" w14:textId="77777777" w:rsidR="00372F4A" w:rsidRDefault="00372F4A" w:rsidP="00D969C8">
      <w:pPr>
        <w:pStyle w:val="SemEspaamento"/>
        <w:spacing w:after="240"/>
        <w:jc w:val="center"/>
        <w:rPr>
          <w:rFonts w:ascii="Times New Roman" w:hAnsi="Times New Roman" w:cs="Times New Roman"/>
          <w:b/>
          <w:sz w:val="24"/>
          <w:szCs w:val="24"/>
        </w:rPr>
      </w:pPr>
    </w:p>
    <w:p w14:paraId="7E6EE9B1" w14:textId="1944386F" w:rsidR="00D969C8" w:rsidRPr="009E3A67" w:rsidRDefault="00D969C8" w:rsidP="00D969C8">
      <w:pPr>
        <w:pStyle w:val="SemEspaamento"/>
        <w:spacing w:after="240"/>
        <w:jc w:val="center"/>
        <w:rPr>
          <w:rFonts w:ascii="Times New Roman" w:hAnsi="Times New Roman" w:cs="Times New Roman"/>
          <w:b/>
          <w:sz w:val="24"/>
          <w:szCs w:val="24"/>
        </w:rPr>
      </w:pPr>
      <w:r w:rsidRPr="009E3A67">
        <w:rPr>
          <w:rFonts w:ascii="Times New Roman" w:hAnsi="Times New Roman" w:cs="Times New Roman"/>
          <w:b/>
          <w:sz w:val="24"/>
          <w:szCs w:val="24"/>
        </w:rPr>
        <w:t>ABSTRACT</w:t>
      </w:r>
    </w:p>
    <w:p w14:paraId="09FD50DE" w14:textId="00082E5B" w:rsidR="00D969C8" w:rsidRPr="009E3A67" w:rsidRDefault="00D969C8" w:rsidP="00D969C8">
      <w:pPr>
        <w:pStyle w:val="SemEspaamento"/>
        <w:jc w:val="both"/>
        <w:rPr>
          <w:rFonts w:ascii="Times New Roman" w:hAnsi="Times New Roman" w:cs="Times New Roman"/>
        </w:rPr>
      </w:pPr>
      <w:r w:rsidRPr="009E3A67">
        <w:rPr>
          <w:rFonts w:ascii="Times New Roman" w:hAnsi="Times New Roman" w:cs="Times New Roman"/>
        </w:rPr>
        <w:t>This article analyzes the concept of subjectivity in Saul Newman's post-anarchism, encompassing its individual, collective, and ontological dimensions. The article begins with a critique of essentialist subjectivity, a characteristic of classical anarchisms, influenced by the morality and rationality typical of Enlightenment humanism. Consequently, insurgent subjectivity aims to destroy essentialist prescriptions and inaugurate a void from which the individual reinvents themselves in a creative becoming. Likewise, radical collective subjectivity, as an agent of social transformation, dethrones human nature, unsullied by power, with a plurality of perspectives for direct, horizontal, and anti-authoritarian action. Ultimately, individual and collective subjectivities give rise to ontological anarchy, marked by the absence of predetermined principles and purposes, which gives rise to the freedom of self-determination of individuals and collectives. This critique of post-anarchist subjectivity is based on its tendency toward subjectivism, the moral impasses of a self-disciplined subjectivity, and the contradictory inclination toward an essentialist ontology.</w:t>
      </w:r>
    </w:p>
    <w:p w14:paraId="77F41C4F" w14:textId="77777777" w:rsidR="00D969C8" w:rsidRPr="009E3A67" w:rsidRDefault="00D969C8" w:rsidP="00D969C8">
      <w:pPr>
        <w:pStyle w:val="SemEspaamento"/>
        <w:jc w:val="both"/>
        <w:rPr>
          <w:rFonts w:ascii="Times New Roman" w:hAnsi="Times New Roman" w:cs="Times New Roman"/>
        </w:rPr>
      </w:pPr>
    </w:p>
    <w:p w14:paraId="6EADDC20" w14:textId="5553F9A8" w:rsidR="00D969C8" w:rsidRPr="009E3A67" w:rsidRDefault="00D969C8" w:rsidP="00D969C8">
      <w:pPr>
        <w:pStyle w:val="SemEspaamento"/>
        <w:spacing w:after="240"/>
        <w:jc w:val="both"/>
        <w:rPr>
          <w:rFonts w:ascii="Times New Roman" w:hAnsi="Times New Roman" w:cs="Times New Roman"/>
          <w:b/>
          <w:sz w:val="24"/>
          <w:szCs w:val="24"/>
        </w:rPr>
      </w:pPr>
      <w:r w:rsidRPr="009E3A67">
        <w:rPr>
          <w:rFonts w:ascii="Times New Roman" w:hAnsi="Times New Roman" w:cs="Times New Roman"/>
          <w:b/>
          <w:sz w:val="24"/>
          <w:szCs w:val="24"/>
        </w:rPr>
        <w:t>KEYWORDS</w:t>
      </w:r>
    </w:p>
    <w:p w14:paraId="56140919" w14:textId="3791C7E1" w:rsidR="00D969C8" w:rsidRPr="009E3A67" w:rsidRDefault="00D969C8" w:rsidP="00D969C8">
      <w:pPr>
        <w:pStyle w:val="SemEspaamento"/>
        <w:jc w:val="both"/>
        <w:rPr>
          <w:rFonts w:ascii="Times New Roman" w:hAnsi="Times New Roman" w:cs="Times New Roman"/>
        </w:rPr>
      </w:pPr>
      <w:r w:rsidRPr="009E3A67">
        <w:rPr>
          <w:rFonts w:ascii="Times New Roman" w:hAnsi="Times New Roman" w:cs="Times New Roman"/>
        </w:rPr>
        <w:t>Anarchism; Subjectivity; Post-Anarchism; Anarchist Ontology; Saul Newman.</w:t>
      </w:r>
    </w:p>
    <w:p w14:paraId="19784B5B" w14:textId="77777777" w:rsidR="00DD089F" w:rsidRPr="009E3A67" w:rsidRDefault="00DD089F" w:rsidP="00DD089F">
      <w:pPr>
        <w:pStyle w:val="SemEspaamento"/>
        <w:spacing w:line="360" w:lineRule="auto"/>
        <w:ind w:firstLine="709"/>
        <w:jc w:val="both"/>
        <w:rPr>
          <w:rFonts w:ascii="Times New Roman" w:hAnsi="Times New Roman" w:cs="Times New Roman"/>
          <w:b/>
          <w:bCs/>
        </w:rPr>
      </w:pPr>
    </w:p>
    <w:p w14:paraId="2267C200" w14:textId="77777777" w:rsidR="00DD089F" w:rsidRPr="009E3A67" w:rsidRDefault="00DD089F" w:rsidP="00DD089F">
      <w:pPr>
        <w:pStyle w:val="SemEspaamento"/>
        <w:spacing w:line="360" w:lineRule="auto"/>
        <w:ind w:firstLine="709"/>
        <w:jc w:val="both"/>
        <w:rPr>
          <w:rFonts w:ascii="Times New Roman" w:hAnsi="Times New Roman" w:cs="Times New Roman"/>
          <w:b/>
          <w:bCs/>
        </w:rPr>
      </w:pPr>
    </w:p>
    <w:p w14:paraId="30F0659A" w14:textId="77777777" w:rsidR="00DD089F" w:rsidRPr="009E3A67" w:rsidRDefault="00DD089F" w:rsidP="00DD089F">
      <w:pPr>
        <w:pStyle w:val="SemEspaamento"/>
        <w:spacing w:line="360" w:lineRule="auto"/>
        <w:ind w:firstLine="709"/>
        <w:jc w:val="both"/>
        <w:rPr>
          <w:rFonts w:ascii="Times New Roman" w:hAnsi="Times New Roman" w:cs="Times New Roman"/>
          <w:b/>
          <w:bCs/>
        </w:rPr>
      </w:pPr>
    </w:p>
    <w:p w14:paraId="0A9771A9" w14:textId="77777777" w:rsidR="00DD089F" w:rsidRDefault="00DD089F" w:rsidP="00DD089F">
      <w:pPr>
        <w:pStyle w:val="SemEspaamento"/>
        <w:spacing w:line="360" w:lineRule="auto"/>
        <w:ind w:firstLine="709"/>
        <w:jc w:val="both"/>
        <w:rPr>
          <w:rFonts w:ascii="Times New Roman" w:hAnsi="Times New Roman" w:cs="Times New Roman"/>
          <w:b/>
          <w:bCs/>
        </w:rPr>
      </w:pPr>
    </w:p>
    <w:p w14:paraId="15EF4489" w14:textId="77777777" w:rsidR="009034E2" w:rsidRDefault="009034E2" w:rsidP="00DD089F">
      <w:pPr>
        <w:pStyle w:val="SemEspaamento"/>
        <w:spacing w:line="360" w:lineRule="auto"/>
        <w:ind w:firstLine="709"/>
        <w:jc w:val="both"/>
        <w:rPr>
          <w:rFonts w:ascii="Times New Roman" w:hAnsi="Times New Roman" w:cs="Times New Roman"/>
          <w:b/>
          <w:bCs/>
        </w:rPr>
      </w:pPr>
    </w:p>
    <w:p w14:paraId="67165523" w14:textId="77777777" w:rsidR="00DD089F" w:rsidRPr="009E3A67" w:rsidRDefault="00DD089F" w:rsidP="00DD089F">
      <w:pPr>
        <w:pStyle w:val="SemEspaamento"/>
        <w:ind w:firstLine="709"/>
        <w:jc w:val="center"/>
        <w:rPr>
          <w:rFonts w:ascii="Times New Roman" w:hAnsi="Times New Roman" w:cs="Times New Roman"/>
          <w:b/>
          <w:bCs/>
          <w:sz w:val="24"/>
          <w:szCs w:val="24"/>
        </w:rPr>
      </w:pPr>
      <w:r w:rsidRPr="009E3A67">
        <w:rPr>
          <w:rFonts w:ascii="Times New Roman" w:hAnsi="Times New Roman" w:cs="Times New Roman"/>
          <w:b/>
          <w:bCs/>
          <w:sz w:val="24"/>
          <w:szCs w:val="24"/>
        </w:rPr>
        <w:t>“ANARQUISMO DA SUBJETIVIDADE” DE SAUL NEWMAN: A SUBJETIVIDADE PÓS-ANARQUISTA</w:t>
      </w:r>
    </w:p>
    <w:p w14:paraId="6F960420" w14:textId="77777777" w:rsidR="00DD089F" w:rsidRPr="009E3A67" w:rsidRDefault="00DD089F" w:rsidP="00DD089F">
      <w:pPr>
        <w:pStyle w:val="SemEspaamento"/>
        <w:spacing w:line="360" w:lineRule="auto"/>
        <w:jc w:val="both"/>
        <w:rPr>
          <w:rFonts w:ascii="Times New Roman" w:hAnsi="Times New Roman" w:cs="Times New Roman"/>
          <w:b/>
          <w:bCs/>
        </w:rPr>
      </w:pPr>
    </w:p>
    <w:p w14:paraId="632EB6AA" w14:textId="0ADDFBBA" w:rsidR="00DD089F" w:rsidRDefault="00DD089F" w:rsidP="00DD089F">
      <w:pPr>
        <w:pStyle w:val="SemEspaamento"/>
        <w:spacing w:line="360" w:lineRule="auto"/>
        <w:jc w:val="both"/>
        <w:rPr>
          <w:rFonts w:ascii="Times New Roman" w:hAnsi="Times New Roman" w:cs="Times New Roman"/>
          <w:b/>
          <w:bCs/>
          <w:sz w:val="24"/>
          <w:szCs w:val="24"/>
        </w:rPr>
      </w:pPr>
      <w:r w:rsidRPr="009E3A67">
        <w:rPr>
          <w:rFonts w:ascii="Times New Roman" w:hAnsi="Times New Roman" w:cs="Times New Roman"/>
          <w:b/>
          <w:bCs/>
          <w:sz w:val="24"/>
          <w:szCs w:val="24"/>
        </w:rPr>
        <w:t>1.INTRODUÇÃO</w:t>
      </w:r>
    </w:p>
    <w:p w14:paraId="221C9D1C" w14:textId="77777777" w:rsidR="00F06A73" w:rsidRPr="009E3A67" w:rsidRDefault="00F06A73" w:rsidP="00F06A73">
      <w:pPr>
        <w:pStyle w:val="SemEspaamento"/>
        <w:jc w:val="both"/>
        <w:rPr>
          <w:rFonts w:ascii="Times New Roman" w:hAnsi="Times New Roman" w:cs="Times New Roman"/>
          <w:b/>
          <w:bCs/>
          <w:sz w:val="24"/>
          <w:szCs w:val="24"/>
        </w:rPr>
      </w:pPr>
    </w:p>
    <w:p w14:paraId="122277F8" w14:textId="77777777" w:rsidR="00DD089F" w:rsidRPr="009034E2" w:rsidRDefault="00DD089F" w:rsidP="00DD089F">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 xml:space="preserve">O pensamento anarquista e o movimento libertário experimentam grande vitalidade no mundo contemporâneo. A multiplicação de coletivos autogestionários e a proliferação de práticas antiautoritárias de ação direta dão notícias do que tem sido considerado o “ressurgimento” do anarquismo </w:t>
      </w:r>
      <w:r w:rsidRPr="009034E2">
        <w:rPr>
          <w:rFonts w:ascii="Times New Roman" w:eastAsia="Aptos" w:hAnsi="Times New Roman" w:cs="Times New Roman"/>
          <w:color w:val="000000" w:themeColor="text1"/>
          <w:sz w:val="24"/>
          <w:szCs w:val="24"/>
        </w:rPr>
        <w:t xml:space="preserve">(IBÁÑEZ, 2014:19), </w:t>
      </w:r>
      <w:r w:rsidRPr="009034E2">
        <w:rPr>
          <w:rFonts w:ascii="Times New Roman" w:hAnsi="Times New Roman" w:cs="Times New Roman"/>
          <w:sz w:val="24"/>
          <w:szCs w:val="24"/>
        </w:rPr>
        <w:t xml:space="preserve">a “explosão” do movimento libertário no século XXI </w:t>
      </w:r>
      <w:r w:rsidRPr="009034E2">
        <w:rPr>
          <w:rFonts w:ascii="Times New Roman" w:eastAsia="Aptos" w:hAnsi="Times New Roman" w:cs="Times New Roman"/>
          <w:color w:val="000000" w:themeColor="text1"/>
          <w:sz w:val="24"/>
          <w:szCs w:val="24"/>
        </w:rPr>
        <w:t>(</w:t>
      </w:r>
      <w:r w:rsidRPr="009034E2">
        <w:rPr>
          <w:rFonts w:ascii="Times New Roman" w:eastAsia="Aptos" w:hAnsi="Times New Roman" w:cs="Times New Roman"/>
          <w:color w:val="000000" w:themeColor="text1"/>
          <w:sz w:val="24"/>
          <w:szCs w:val="24"/>
          <w:lang w:val="en-US"/>
        </w:rPr>
        <w:t>GRAEBER, 2004:02)</w:t>
      </w:r>
      <w:r w:rsidRPr="009034E2">
        <w:rPr>
          <w:rFonts w:ascii="Times New Roman" w:hAnsi="Times New Roman" w:cs="Times New Roman"/>
          <w:sz w:val="24"/>
          <w:szCs w:val="24"/>
        </w:rPr>
        <w:t xml:space="preserve"> ou o "</w:t>
      </w:r>
      <w:r w:rsidRPr="009034E2">
        <w:rPr>
          <w:rFonts w:ascii="Times New Roman" w:eastAsia="Aptos" w:hAnsi="Times New Roman" w:cs="Times New Roman"/>
          <w:i/>
          <w:iCs/>
          <w:color w:val="000000" w:themeColor="text1"/>
          <w:sz w:val="24"/>
          <w:szCs w:val="24"/>
          <w:lang w:val="en-US"/>
        </w:rPr>
        <w:t xml:space="preserve"> revival </w:t>
      </w:r>
      <w:r w:rsidRPr="009034E2">
        <w:rPr>
          <w:rFonts w:ascii="Times New Roman" w:eastAsia="Aptos" w:hAnsi="Times New Roman" w:cs="Times New Roman"/>
          <w:color w:val="000000" w:themeColor="text1"/>
          <w:sz w:val="24"/>
          <w:szCs w:val="24"/>
          <w:lang w:val="en-US"/>
        </w:rPr>
        <w:t>do anarquismo”  (NEWMAN, 2006:31).</w:t>
      </w:r>
    </w:p>
    <w:p w14:paraId="4F612143" w14:textId="77777777" w:rsidR="00DD089F" w:rsidRPr="009034E2" w:rsidRDefault="00DD089F" w:rsidP="00DD089F">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 xml:space="preserve">Neste contexto, contudo, surgem diversas perspectivas anarquistas que procuram analisar suas contribuições para a compreensão e transformação do mundo contemporâneo. Dentre elas está o pós-anarquismo formulado por Saul Newman, professor de Teoria Política do College Goldsmiths (Universidade de Londres). Pós-anarquismo designa um processo crítico de revisão das teorias anarquistas clássicas, baseadas em uma subjetividade essencialista tributária do humanismo iluminista e seu pendor para a moralidade e racionalidade (NEWMAN, 2006, </w:t>
      </w:r>
      <w:r w:rsidRPr="009034E2">
        <w:rPr>
          <w:rFonts w:ascii="Times New Roman" w:eastAsia="Aptos" w:hAnsi="Times New Roman" w:cs="Times New Roman"/>
          <w:color w:val="000000" w:themeColor="text1"/>
          <w:sz w:val="24"/>
          <w:szCs w:val="24"/>
          <w:lang w:val="en-US"/>
        </w:rPr>
        <w:t>2011/2023</w:t>
      </w:r>
      <w:r w:rsidRPr="009034E2">
        <w:rPr>
          <w:rFonts w:ascii="Times New Roman" w:hAnsi="Times New Roman" w:cs="Times New Roman"/>
          <w:sz w:val="24"/>
          <w:szCs w:val="24"/>
        </w:rPr>
        <w:t>).</w:t>
      </w:r>
    </w:p>
    <w:p w14:paraId="5C45DBB5" w14:textId="77777777" w:rsidR="00DD089F" w:rsidRPr="009034E2" w:rsidRDefault="00DD089F" w:rsidP="00DD089F">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hAnsi="Times New Roman" w:cs="Times New Roman"/>
          <w:sz w:val="24"/>
          <w:szCs w:val="24"/>
        </w:rPr>
        <w:t xml:space="preserve">Nesse sentido, a compreensão da subjetividade se torna central para o pós-anarquismo. Ao analisar o processo de rebelião em Max Stirner, Saul Newman descreve uma experiência de reinvenção ininterrupta de si denominada “anarquismo da subjetividade, </w:t>
      </w:r>
      <w:r w:rsidRPr="009034E2">
        <w:rPr>
          <w:rFonts w:ascii="Times New Roman" w:eastAsia="Aptos" w:hAnsi="Times New Roman" w:cs="Times New Roman"/>
          <w:color w:val="000000" w:themeColor="text1"/>
          <w:sz w:val="24"/>
          <w:szCs w:val="24"/>
        </w:rPr>
        <w:t>em vez de um anarquismo baseado na subjetividade</w:t>
      </w:r>
      <w:r w:rsidRPr="009034E2">
        <w:rPr>
          <w:rFonts w:ascii="Times New Roman" w:hAnsi="Times New Roman" w:cs="Times New Roman"/>
          <w:sz w:val="24"/>
          <w:szCs w:val="24"/>
        </w:rPr>
        <w:t xml:space="preserve">” </w:t>
      </w:r>
      <w:r w:rsidRPr="009034E2">
        <w:rPr>
          <w:rFonts w:ascii="Times New Roman" w:eastAsia="Aptos" w:hAnsi="Times New Roman" w:cs="Times New Roman"/>
          <w:sz w:val="24"/>
          <w:szCs w:val="24"/>
          <w:lang w:val="en-US"/>
        </w:rPr>
        <w:t>(NEWMAN, 2001:66). Nesta frase curta, mas seminal, há um trocadilho que coloca em suspeita a noção de subjetividade como fundamento do anarquismo. Trata-se de uma subjetividade universal e abstrata que se constitui como modo de subjetivação que subjuga o indivíduo concreto. Ao contrário,</w:t>
      </w:r>
      <w:r w:rsidRPr="009034E2">
        <w:rPr>
          <w:rFonts w:ascii="Times New Roman" w:eastAsia="Aptos" w:hAnsi="Times New Roman" w:cs="Times New Roman"/>
          <w:color w:val="000000" w:themeColor="text1"/>
          <w:sz w:val="24"/>
          <w:szCs w:val="24"/>
          <w:lang w:val="en-US"/>
        </w:rPr>
        <w:t xml:space="preserve"> o “anarquismo da subjetividade” - ou a subjetividade anarquista - surge na obra de Saul Newman como grande insurreição da política radical.</w:t>
      </w:r>
    </w:p>
    <w:p w14:paraId="7F0A9CD2" w14:textId="77777777" w:rsidR="00DD089F" w:rsidRPr="009034E2" w:rsidRDefault="00DD089F" w:rsidP="00DD089F">
      <w:pPr>
        <w:pStyle w:val="SemEspaamento"/>
        <w:spacing w:line="360" w:lineRule="auto"/>
        <w:ind w:firstLine="851"/>
        <w:jc w:val="both"/>
        <w:rPr>
          <w:rFonts w:ascii="Times New Roman" w:eastAsia="Aptos" w:hAnsi="Times New Roman" w:cs="Times New Roman"/>
          <w:sz w:val="24"/>
          <w:szCs w:val="24"/>
          <w:lang w:val="en-US"/>
        </w:rPr>
      </w:pPr>
      <w:r w:rsidRPr="009034E2">
        <w:rPr>
          <w:rFonts w:ascii="Times New Roman" w:hAnsi="Times New Roman" w:cs="Times New Roman"/>
          <w:sz w:val="24"/>
          <w:szCs w:val="24"/>
        </w:rPr>
        <w:t xml:space="preserve">Saul Newman considera a subjetividade um dos grandes desafios teóricos do </w:t>
      </w:r>
      <w:r w:rsidRPr="009034E2">
        <w:rPr>
          <w:rFonts w:ascii="Times New Roman" w:eastAsia="Aptos" w:hAnsi="Times New Roman" w:cs="Times New Roman"/>
          <w:color w:val="000000" w:themeColor="text1"/>
          <w:sz w:val="24"/>
          <w:szCs w:val="24"/>
        </w:rPr>
        <w:t xml:space="preserve">campo político contemporâneo - em especial a “cumplicidade do sujeito no poder” e a criação de novos modos de subjetivação </w:t>
      </w:r>
      <w:r w:rsidRPr="009034E2">
        <w:rPr>
          <w:rFonts w:ascii="Times New Roman" w:eastAsia="Aptos" w:hAnsi="Times New Roman" w:cs="Times New Roman"/>
          <w:color w:val="000000" w:themeColor="text1"/>
          <w:sz w:val="24"/>
          <w:szCs w:val="24"/>
          <w:lang w:val="en-US"/>
        </w:rPr>
        <w:t xml:space="preserve">(NEWMAN, 2006:40). Não se trata apenas de uma reflexão sobre a subjetividade individual, uma vez que Saul Newman destaca a importância da política radical em analisar criticamente a “subjetividade política” ou o sujeito coletivo revolucionário (NEWMAN, 2011/2023:10). </w:t>
      </w:r>
    </w:p>
    <w:p w14:paraId="552F1DF9" w14:textId="77777777" w:rsidR="00DD089F" w:rsidRPr="009034E2" w:rsidRDefault="00DD089F" w:rsidP="00DD089F">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rPr>
        <w:t xml:space="preserve">Eis a proposta do presente artigo: realizar um estudo teórico para compreender a subjetividade a partir do pós-anarquismo de Saul Newman. </w:t>
      </w:r>
      <w:r w:rsidRPr="009034E2">
        <w:rPr>
          <w:rFonts w:ascii="Times New Roman" w:hAnsi="Times New Roman" w:cs="Times New Roman"/>
          <w:sz w:val="24"/>
          <w:szCs w:val="24"/>
        </w:rPr>
        <w:t>A crítica do sujeito (neo)liberal possui grande relevância científica na atualidade, especialmente quando problematiza formas de dominação subjacentes aos modos de subjetivação predominantes na sociedade neoliberal. Por outro lado, o fortalecimento de subjetividades insurgentes possui relevância social na criação políticas de singularidade pautadas na liberdade, equidade e diversidade.</w:t>
      </w:r>
    </w:p>
    <w:p w14:paraId="0B9DB2B3" w14:textId="77777777" w:rsidR="00DD089F" w:rsidRPr="009034E2" w:rsidRDefault="00DD089F" w:rsidP="00DD089F">
      <w:pPr>
        <w:pStyle w:val="SemEspaamento"/>
        <w:spacing w:after="240"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Propõem-se, inicialmente, aprofundar a crítica à subjetividade essencialista presente no anarquismo clássico. Em seguida, apresenta-se a noção de subjetividade radical, individual e coletiva, posteriormente incorporada na ontologia anarquista. Por fim, faz-se algumas críticas à compreensão de subjetividade em Saul Newman.</w:t>
      </w:r>
    </w:p>
    <w:p w14:paraId="01969A77" w14:textId="11C6DB10" w:rsidR="00DD089F" w:rsidRPr="009034E2" w:rsidRDefault="005E5E1B" w:rsidP="00DD089F">
      <w:pPr>
        <w:pStyle w:val="SemEspaamento"/>
        <w:spacing w:line="360" w:lineRule="auto"/>
        <w:jc w:val="both"/>
        <w:rPr>
          <w:rFonts w:ascii="Times New Roman" w:hAnsi="Times New Roman" w:cs="Times New Roman"/>
          <w:b/>
          <w:bCs/>
          <w:sz w:val="24"/>
          <w:szCs w:val="24"/>
        </w:rPr>
      </w:pPr>
      <w:r w:rsidRPr="009034E2">
        <w:rPr>
          <w:rFonts w:ascii="Times New Roman" w:hAnsi="Times New Roman" w:cs="Times New Roman"/>
          <w:b/>
          <w:bCs/>
          <w:sz w:val="24"/>
          <w:szCs w:val="24"/>
        </w:rPr>
        <w:t>2.</w:t>
      </w:r>
      <w:r w:rsidR="00DD089F" w:rsidRPr="009034E2">
        <w:rPr>
          <w:rFonts w:ascii="Times New Roman" w:hAnsi="Times New Roman" w:cs="Times New Roman"/>
          <w:b/>
          <w:bCs/>
          <w:sz w:val="24"/>
          <w:szCs w:val="24"/>
        </w:rPr>
        <w:t xml:space="preserve"> A SUBJETIVIDADE ESSENCIALISTA</w:t>
      </w:r>
    </w:p>
    <w:p w14:paraId="221BFB04" w14:textId="77777777" w:rsidR="00F06A73" w:rsidRPr="009034E2" w:rsidRDefault="00F06A73" w:rsidP="00F06A73">
      <w:pPr>
        <w:pStyle w:val="SemEspaamento"/>
        <w:jc w:val="both"/>
        <w:rPr>
          <w:rFonts w:ascii="Times New Roman" w:hAnsi="Times New Roman" w:cs="Times New Roman"/>
          <w:b/>
          <w:bCs/>
          <w:sz w:val="24"/>
          <w:szCs w:val="24"/>
        </w:rPr>
      </w:pPr>
    </w:p>
    <w:p w14:paraId="09B088CC" w14:textId="77777777" w:rsidR="00DD089F" w:rsidRPr="009034E2" w:rsidRDefault="00DD089F" w:rsidP="00B579BF">
      <w:pPr>
        <w:pStyle w:val="SemEspaamento"/>
        <w:spacing w:line="360" w:lineRule="auto"/>
        <w:ind w:firstLine="851"/>
        <w:jc w:val="both"/>
        <w:rPr>
          <w:rFonts w:ascii="Times New Roman" w:hAnsi="Times New Roman" w:cs="Times New Roman"/>
          <w:b/>
          <w:bCs/>
          <w:sz w:val="24"/>
          <w:szCs w:val="24"/>
        </w:rPr>
      </w:pPr>
      <w:r w:rsidRPr="009034E2">
        <w:rPr>
          <w:rFonts w:ascii="Times New Roman" w:hAnsi="Times New Roman" w:cs="Times New Roman"/>
          <w:sz w:val="24"/>
          <w:szCs w:val="24"/>
        </w:rPr>
        <w:t xml:space="preserve">O anarquismo clássico desenvolve uma subjetividade essencialista, pautada no humanismo iluminista. Trata-se da natureza humana subjacente à obra de autores como Pierre-Joseph Proudhon, Piotr Kropotkin e Mikhail Bakunin, referências do pensamento anarquista nos séculos XIX e XX. </w:t>
      </w:r>
    </w:p>
    <w:p w14:paraId="547CAB1D" w14:textId="77777777" w:rsidR="00DD089F" w:rsidRPr="009034E2" w:rsidRDefault="00DD089F" w:rsidP="00B579BF">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hAnsi="Times New Roman" w:cs="Times New Roman"/>
          <w:sz w:val="24"/>
          <w:szCs w:val="24"/>
        </w:rPr>
        <w:t>Há uma natureza humana caracterizada pela sociabilidade solidária entre os indivíduos - como na noção de ajuda mútua em Kropotkin. São “leis naturais” inerentes à “</w:t>
      </w:r>
      <w:r w:rsidRPr="009034E2">
        <w:rPr>
          <w:rFonts w:ascii="Times New Roman" w:eastAsia="Aptos" w:hAnsi="Times New Roman" w:cs="Times New Roman"/>
          <w:color w:val="000000" w:themeColor="text1"/>
          <w:sz w:val="24"/>
          <w:szCs w:val="24"/>
        </w:rPr>
        <w:t>subjetividade humana essencial”</w:t>
      </w:r>
      <w:r w:rsidRPr="009034E2">
        <w:rPr>
          <w:rFonts w:ascii="Times New Roman" w:hAnsi="Times New Roman" w:cs="Times New Roman"/>
          <w:sz w:val="24"/>
          <w:szCs w:val="24"/>
        </w:rPr>
        <w:t xml:space="preserve">, corrompidas pela imposição do poder do Estado </w:t>
      </w:r>
      <w:r w:rsidRPr="009034E2">
        <w:rPr>
          <w:rFonts w:ascii="Times New Roman" w:eastAsia="Aptos" w:hAnsi="Times New Roman" w:cs="Times New Roman"/>
          <w:color w:val="000000" w:themeColor="text1"/>
          <w:sz w:val="24"/>
          <w:szCs w:val="24"/>
        </w:rPr>
        <w:t xml:space="preserve">(NEWMAN, </w:t>
      </w:r>
      <w:r w:rsidRPr="009034E2">
        <w:rPr>
          <w:rFonts w:ascii="Times New Roman" w:eastAsia="Aptos" w:hAnsi="Times New Roman" w:cs="Times New Roman"/>
          <w:color w:val="000000" w:themeColor="text1"/>
          <w:sz w:val="24"/>
          <w:szCs w:val="24"/>
          <w:lang w:val="en-US"/>
        </w:rPr>
        <w:t>2000/</w:t>
      </w:r>
      <w:r w:rsidRPr="009034E2">
        <w:rPr>
          <w:rFonts w:ascii="Times New Roman" w:eastAsia="Aptos" w:hAnsi="Times New Roman" w:cs="Times New Roman"/>
          <w:color w:val="000000" w:themeColor="text1"/>
          <w:sz w:val="24"/>
          <w:szCs w:val="24"/>
        </w:rPr>
        <w:t>2008:154). Ou seja, o poder oblitera o desenvolvimento das potencialidades inatas contidas na essência humana. Por influência do humanismo iluminista, tal subjetividade é fundamentada na moral e na razão.</w:t>
      </w:r>
    </w:p>
    <w:p w14:paraId="4DBD54EF" w14:textId="77777777" w:rsidR="00DD089F" w:rsidRPr="009034E2" w:rsidRDefault="00DD089F" w:rsidP="00B579BF">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A partir de Max Stirner, Saul Newman (</w:t>
      </w:r>
      <w:r w:rsidRPr="009034E2">
        <w:rPr>
          <w:rFonts w:ascii="Times New Roman" w:eastAsia="Aptos" w:hAnsi="Times New Roman" w:cs="Times New Roman"/>
          <w:color w:val="000000" w:themeColor="text1"/>
          <w:sz w:val="24"/>
          <w:szCs w:val="24"/>
          <w:lang w:val="en-US"/>
        </w:rPr>
        <w:t xml:space="preserve">2001/2005:20-1) </w:t>
      </w:r>
      <w:r w:rsidRPr="009034E2">
        <w:rPr>
          <w:rFonts w:ascii="Times New Roman" w:eastAsia="Aptos" w:hAnsi="Times New Roman" w:cs="Times New Roman"/>
          <w:color w:val="000000" w:themeColor="text1"/>
          <w:sz w:val="24"/>
          <w:szCs w:val="24"/>
        </w:rPr>
        <w:t>considera a moralidade derivada dos preceitos religiosos do cristianismo: o poder do “espírito” que se seculariza e transfigura em leis. Trata-se de receitas sobre o que é bom, justo e ético que determinam a natureza humana. Para realizar sua essência, portanto, a subjetividade é moralizada: “... o indivíduo deve se conformar aos códigos morais vigentes, caso contrário, aliena-se de sua ‘essência’” (</w:t>
      </w:r>
      <w:r w:rsidRPr="009034E2">
        <w:rPr>
          <w:rFonts w:ascii="Times New Roman" w:eastAsia="Aptos" w:hAnsi="Times New Roman" w:cs="Times New Roman"/>
          <w:color w:val="000000" w:themeColor="text1"/>
          <w:sz w:val="24"/>
          <w:szCs w:val="24"/>
          <w:lang w:val="en-US"/>
        </w:rPr>
        <w:t>NEWMAN</w:t>
      </w:r>
      <w:r w:rsidRPr="009034E2">
        <w:rPr>
          <w:rFonts w:ascii="Times New Roman" w:eastAsia="Aptos" w:hAnsi="Times New Roman" w:cs="Times New Roman"/>
          <w:color w:val="000000" w:themeColor="text1"/>
          <w:sz w:val="24"/>
          <w:szCs w:val="24"/>
        </w:rPr>
        <w:t xml:space="preserve">, 2002:08). </w:t>
      </w:r>
    </w:p>
    <w:p w14:paraId="73702B70" w14:textId="77777777" w:rsidR="00DD089F" w:rsidRPr="009034E2" w:rsidRDefault="00DD089F" w:rsidP="00B579BF">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A racionalidade está pautada em verdades universais absolutas inerentes à natureza humana. Igualmente, refere-se à razão filosófica eurocêntrica que submete outras epistemologias e saberes, frequentemente desqualificados como meras crendices. No âmbito psicológico, a razão institui uma instância de controle da subjetividade, em detrimento dos desejos – geralmente considerados irracionais.</w:t>
      </w:r>
    </w:p>
    <w:p w14:paraId="313F66FE" w14:textId="77777777" w:rsidR="00DD089F" w:rsidRPr="009034E2" w:rsidRDefault="00DD089F" w:rsidP="00B579BF">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 xml:space="preserve">A consciência individual catalisa a moral e a razão na determinação da subjetividade humana. Saul Newman considera a consciência uma “vigilância moral internalizada”, pois “o guardião da moralidade já está instalado na consciência do indivíduo” </w:t>
      </w:r>
      <w:r w:rsidRPr="009034E2">
        <w:rPr>
          <w:rFonts w:ascii="Times New Roman" w:eastAsia="Aptos" w:hAnsi="Times New Roman" w:cs="Times New Roman"/>
          <w:color w:val="000000" w:themeColor="text1"/>
          <w:sz w:val="24"/>
          <w:szCs w:val="24"/>
          <w:lang w:val="en-US"/>
        </w:rPr>
        <w:t>(NEWMAN, 2003a:06).</w:t>
      </w:r>
    </w:p>
    <w:p w14:paraId="685EE920" w14:textId="77777777" w:rsidR="00DD089F" w:rsidRPr="009034E2" w:rsidRDefault="00DD089F" w:rsidP="00B579BF">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 xml:space="preserve">Na análise do conceito de liberdade em Emanuel Kant, Saul Newman (2003a) ressalta a aliança da moral e da razão nos imperativos categóricos universais que determinam a essência humana da Ilustração. O ser humano é livre, desde haja racionalmente; é autônomo, desde que haja moralmente: “É precisamente porque a liberdade deve ser exercida racionalmente que o indivíduo se vê obedecendo às leis morais universais fundamentadas racionalmente” </w:t>
      </w:r>
      <w:r w:rsidRPr="009034E2">
        <w:rPr>
          <w:rFonts w:ascii="Times New Roman" w:eastAsia="Aptos" w:hAnsi="Times New Roman" w:cs="Times New Roman"/>
          <w:color w:val="000000" w:themeColor="text1"/>
          <w:sz w:val="24"/>
          <w:szCs w:val="24"/>
          <w:lang w:val="en-US"/>
        </w:rPr>
        <w:t>(NEWMAN, 2003a:04).</w:t>
      </w:r>
    </w:p>
    <w:p w14:paraId="1C225C13" w14:textId="77777777" w:rsidR="00DD089F" w:rsidRPr="009034E2" w:rsidRDefault="00DD089F" w:rsidP="00B579BF">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A subjetividade essencialista é governada pela moral e pela razão para realizar sua vocação inata para a igualdade e a liberdade. Tal destino encontra um obstáculo no “poder”. As relações de poder, como sinônimos de imposições autoritárias, maculam a subjetividade. Logo, o “poder” é arauto da corrupção da natureza humana, uma forma de autoridade nociva e artificial, pois há “</w:t>
      </w:r>
      <w:r w:rsidRPr="009034E2">
        <w:rPr>
          <w:rFonts w:ascii="Times New Roman" w:eastAsia="Aptos" w:hAnsi="Times New Roman" w:cs="Times New Roman"/>
          <w:color w:val="000000" w:themeColor="text1"/>
          <w:sz w:val="24"/>
          <w:szCs w:val="24"/>
          <w:lang w:val="en-US"/>
        </w:rPr>
        <w:t>uma essência humana que não é contaminada pelo poder” (NEWMAN, 2001/2005:26).</w:t>
      </w:r>
    </w:p>
    <w:p w14:paraId="6D330A82" w14:textId="77777777" w:rsidR="00DD089F" w:rsidRPr="009034E2" w:rsidRDefault="00DD089F" w:rsidP="00B579BF">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 xml:space="preserve">Dessa forma, a igualdade e a liberdade inatas da subjetividade essencialista possuem no poder do Estado seu antípoda: “No caso do anarquismo, a subjetividade humana é essencialmente moral e racional, enquanto o Estado é essencialmente imoral e irracional” (NEWMAN, </w:t>
      </w:r>
      <w:r w:rsidRPr="009034E2">
        <w:rPr>
          <w:rFonts w:ascii="Times New Roman" w:eastAsia="Aptos" w:hAnsi="Times New Roman" w:cs="Times New Roman"/>
          <w:color w:val="000000" w:themeColor="text1"/>
          <w:sz w:val="24"/>
          <w:szCs w:val="24"/>
          <w:lang w:val="en-US"/>
        </w:rPr>
        <w:t>2000/</w:t>
      </w:r>
      <w:r w:rsidRPr="009034E2">
        <w:rPr>
          <w:rFonts w:ascii="Times New Roman" w:eastAsia="Aptos" w:hAnsi="Times New Roman" w:cs="Times New Roman"/>
          <w:color w:val="000000" w:themeColor="text1"/>
          <w:sz w:val="24"/>
          <w:szCs w:val="24"/>
        </w:rPr>
        <w:t>2008:160). Por conseguinte, a revolução anarquista deve destituir o poder do estado para o florescimento da subjetividade humana essencial, moral e racional, capaz de construir uma sociedade pautada na igualdade e na liberdade.</w:t>
      </w:r>
    </w:p>
    <w:p w14:paraId="5A27139D" w14:textId="77777777" w:rsidR="00DD089F" w:rsidRPr="009034E2" w:rsidRDefault="00DD089F" w:rsidP="00B579BF">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Quais as críticas de Saul Newman à subjetividade essencialista?</w:t>
      </w:r>
    </w:p>
    <w:p w14:paraId="28284794" w14:textId="77777777" w:rsidR="00DD089F" w:rsidRPr="009034E2" w:rsidRDefault="00DD089F" w:rsidP="00B579BF">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A subjetividade essencialista é uma abstração metafísica. Embora seja criação dos indivíduos, surge como algo exterior, estranho e transcendental: uma natureza imutável, independente do contexto social concreto em que as subjetividades são constituídas. Imbuída de racionalidade, a natureza humana estabelece a verdade sobre a subjetividade, a partir da dicotomia maniqueísta que se expressa em termos morais: solidários e egoístas, bons e maus, revolucionários e reacionários, etc. A moralidade e a racionalidade submetem a subjetividade singular sob a forma de ideal: um modelo inalcançável de perfeição. O poder, por exemplo, marco da corrupção da natureza humana, deve ser abolido, conduzindo a subjetividade a um ideal irrealizável: “...</w:t>
      </w:r>
      <w:r w:rsidRPr="009034E2">
        <w:rPr>
          <w:rFonts w:ascii="Times New Roman" w:eastAsia="Aptos" w:hAnsi="Times New Roman" w:cs="Times New Roman"/>
          <w:color w:val="000000" w:themeColor="text1"/>
          <w:sz w:val="24"/>
          <w:szCs w:val="24"/>
        </w:rPr>
        <w:t xml:space="preserve">enquanto o anarquismo estiver baseado em uma noção de subjetividade humana essencial incontaminada pelo poder, essa subjetividade é impossível” (NEWMAN, </w:t>
      </w:r>
      <w:r w:rsidRPr="009034E2">
        <w:rPr>
          <w:rFonts w:ascii="Times New Roman" w:eastAsia="Aptos" w:hAnsi="Times New Roman" w:cs="Times New Roman"/>
          <w:color w:val="000000" w:themeColor="text1"/>
          <w:sz w:val="24"/>
          <w:szCs w:val="24"/>
          <w:lang w:val="en-US"/>
        </w:rPr>
        <w:t>2000/</w:t>
      </w:r>
      <w:r w:rsidRPr="009034E2">
        <w:rPr>
          <w:rFonts w:ascii="Times New Roman" w:eastAsia="Aptos" w:hAnsi="Times New Roman" w:cs="Times New Roman"/>
          <w:color w:val="000000" w:themeColor="text1"/>
          <w:sz w:val="24"/>
          <w:szCs w:val="24"/>
        </w:rPr>
        <w:t>2008:162-3).</w:t>
      </w:r>
    </w:p>
    <w:p w14:paraId="2C4EAE91" w14:textId="77777777" w:rsidR="00DD089F" w:rsidRPr="009034E2" w:rsidRDefault="00DD089F" w:rsidP="00B579BF">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A essência humana é uma força alheia determinista que submete a subjetividade. Prescreve condutas ideais a partir das quais os indivíduos são julgados, subjugados e punidos. Se a essência humana é naturalmente pautada na mutualidade (</w:t>
      </w:r>
      <w:r w:rsidRPr="009034E2">
        <w:rPr>
          <w:rFonts w:ascii="Times New Roman" w:eastAsia="Aptos" w:hAnsi="Times New Roman" w:cs="Times New Roman"/>
          <w:color w:val="000000" w:themeColor="text1"/>
          <w:sz w:val="24"/>
          <w:szCs w:val="24"/>
        </w:rPr>
        <w:t>KROPOTKIN, 1902/2009</w:t>
      </w:r>
      <w:r w:rsidRPr="009034E2">
        <w:rPr>
          <w:rFonts w:ascii="Times New Roman" w:hAnsi="Times New Roman" w:cs="Times New Roman"/>
          <w:sz w:val="24"/>
          <w:szCs w:val="24"/>
        </w:rPr>
        <w:t>) ou no amor ao semelhante (</w:t>
      </w:r>
      <w:r w:rsidRPr="009034E2">
        <w:rPr>
          <w:rFonts w:ascii="Times New Roman" w:eastAsia="Aptos" w:hAnsi="Times New Roman" w:cs="Times New Roman"/>
          <w:color w:val="000000" w:themeColor="text1"/>
          <w:sz w:val="24"/>
          <w:szCs w:val="24"/>
        </w:rPr>
        <w:t>PROUDHON, 1840</w:t>
      </w:r>
      <w:r w:rsidRPr="009034E2">
        <w:rPr>
          <w:rFonts w:ascii="Times New Roman" w:hAnsi="Times New Roman" w:cs="Times New Roman"/>
          <w:sz w:val="24"/>
          <w:szCs w:val="24"/>
        </w:rPr>
        <w:t>), uma pessoa que não responde a estes ideais é censurada. O fatalismo moral da natureza humana impõe a unidade na multiplicidade dos modos de ser; a estabilidade no devir da vida.</w:t>
      </w:r>
    </w:p>
    <w:p w14:paraId="618BB42F" w14:textId="77777777" w:rsidR="00DD089F" w:rsidRPr="009034E2" w:rsidRDefault="00DD089F" w:rsidP="00B579BF">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Mesmo que seja uma essência humana definida pela igualdade, este ideal é utilizado como parâmetro para reprimir as pessoas que não respondem a essa aspiração abstrata – como os egoístas. A essência exige obediência, sob a pena da repulsa. São ídolos aos quais se deve servir. São dogmas aos quais se deve subordinar.</w:t>
      </w:r>
    </w:p>
    <w:p w14:paraId="478C622A" w14:textId="5FC04B6C" w:rsidR="00DD089F" w:rsidRPr="009034E2" w:rsidRDefault="00DD089F" w:rsidP="00B579BF">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Contudo, o controle externo das subjetividades, em conformidade com a norma estabelecida pela natureza humana, não é tão pernicioso quanto seus efeitos psicológicos. A humanidade, a verdade, a moral ou a liberdade são “</w:t>
      </w:r>
      <w:r w:rsidRPr="009034E2">
        <w:rPr>
          <w:rFonts w:ascii="Times New Roman" w:eastAsia="Aptos" w:hAnsi="Times New Roman" w:cs="Times New Roman"/>
          <w:color w:val="000000" w:themeColor="text1"/>
          <w:sz w:val="24"/>
          <w:szCs w:val="24"/>
        </w:rPr>
        <w:t>abstrações ideológicas” interiorizadas pelos indivíduos sob a forma de modelos de conduta. Utilizando o vocabulário característico de Max Stirner (</w:t>
      </w:r>
      <w:r w:rsidRPr="009034E2">
        <w:rPr>
          <w:rFonts w:ascii="Times New Roman" w:eastAsia="Aptos" w:hAnsi="Times New Roman" w:cs="Times New Roman"/>
          <w:sz w:val="24"/>
          <w:szCs w:val="24"/>
        </w:rPr>
        <w:t>1844/2004)</w:t>
      </w:r>
      <w:r w:rsidRPr="009034E2">
        <w:rPr>
          <w:rFonts w:ascii="Times New Roman" w:eastAsia="Aptos" w:hAnsi="Times New Roman" w:cs="Times New Roman"/>
          <w:color w:val="000000" w:themeColor="text1"/>
          <w:sz w:val="24"/>
          <w:szCs w:val="24"/>
        </w:rPr>
        <w:t>, Saul Newman considera esses mecanismos de poder como “espectros” ou “fantasmas” que atormentam a subjetividade como “ideias fixas” ou “obsessões”: “</w:t>
      </w:r>
      <w:r w:rsidRPr="009034E2">
        <w:rPr>
          <w:rFonts w:ascii="Times New Roman" w:eastAsia="Aptos" w:hAnsi="Times New Roman" w:cs="Times New Roman"/>
          <w:color w:val="000000" w:themeColor="text1"/>
          <w:sz w:val="24"/>
          <w:szCs w:val="24"/>
          <w:lang w:val="pt"/>
        </w:rPr>
        <w:t xml:space="preserve">É um espectro ideológico que profanou a singularidade e a diferença individuais, comparando o indivíduo a um ideal que não é de sua própria criação”. Acrescentando: “Dessa forma, o indivíduo se torna interpelado por esse espectro – sua subjetividade é construída em torno de uma essência </w:t>
      </w:r>
      <w:r w:rsidR="00B579BF" w:rsidRPr="009034E2">
        <w:rPr>
          <w:rFonts w:ascii="Times New Roman" w:eastAsia="Aptos" w:hAnsi="Times New Roman" w:cs="Times New Roman"/>
          <w:color w:val="000000" w:themeColor="text1"/>
          <w:sz w:val="24"/>
          <w:szCs w:val="24"/>
          <w:lang w:val="pt"/>
        </w:rPr>
        <w:t>ilusória” (</w:t>
      </w:r>
      <w:r w:rsidRPr="009034E2">
        <w:rPr>
          <w:rFonts w:ascii="Times New Roman" w:eastAsia="Aptos" w:hAnsi="Times New Roman" w:cs="Times New Roman"/>
          <w:color w:val="000000" w:themeColor="text1"/>
          <w:sz w:val="24"/>
          <w:szCs w:val="24"/>
          <w:lang w:val="pt"/>
        </w:rPr>
        <w:t>NEWMAN, 2001b:13).</w:t>
      </w:r>
      <w:r w:rsidRPr="009034E2">
        <w:rPr>
          <w:rFonts w:ascii="Times New Roman" w:hAnsi="Times New Roman" w:cs="Times New Roman"/>
          <w:sz w:val="24"/>
          <w:szCs w:val="24"/>
        </w:rPr>
        <w:t xml:space="preserve"> Saul Newman nomeia esse processo como “</w:t>
      </w:r>
      <w:r w:rsidRPr="009034E2">
        <w:rPr>
          <w:rFonts w:ascii="Times New Roman" w:eastAsia="Aptos" w:hAnsi="Times New Roman" w:cs="Times New Roman"/>
          <w:color w:val="000000" w:themeColor="text1"/>
          <w:sz w:val="24"/>
          <w:szCs w:val="24"/>
          <w:lang w:val="pt"/>
        </w:rPr>
        <w:t>subjetivação ideológica” (NEWMAN, 2001b:20).</w:t>
      </w:r>
    </w:p>
    <w:p w14:paraId="6F9EBF18" w14:textId="77777777" w:rsidR="00DD089F" w:rsidRPr="009034E2" w:rsidRDefault="00DD089F" w:rsidP="00B579BF">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Em outras palavras, o indivíduo particular concreto abriga dentro de si o ideal universal de humanidade que o submete ao modelo de perfeição inalcançável. Uma autoridade que opera o poder desde dentro. Na perspectiva essencialista, o próprio modo de subjetivação é uma forma de dominação: a subjetividade submissa. Ou seja, subordinar a experiência individual à subjetividade essencialista é um modo de coagir sua singularidade diante do ideal geral externo ao indivíduo.</w:t>
      </w:r>
    </w:p>
    <w:p w14:paraId="3815F3C1" w14:textId="77777777" w:rsidR="00DD089F" w:rsidRPr="009034E2" w:rsidRDefault="00DD089F" w:rsidP="00B579BF">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Tal ideal essencialista também normatiza as diferenças e penaliza as dissidências: “</w:t>
      </w:r>
      <w:r w:rsidRPr="009034E2">
        <w:rPr>
          <w:rFonts w:ascii="Times New Roman" w:eastAsia="Aptos" w:hAnsi="Times New Roman" w:cs="Times New Roman"/>
          <w:color w:val="000000" w:themeColor="text1"/>
          <w:sz w:val="24"/>
          <w:szCs w:val="24"/>
          <w:lang w:val="en-US"/>
        </w:rPr>
        <w:t xml:space="preserve">A essência humana tornou-se o novo critério pelo qual os indivíduos são julgados e punidos (...) A essência humana é a nova norma que condena a diferença” (NEWMAN, 2001a:62). </w:t>
      </w:r>
      <w:r w:rsidRPr="009034E2">
        <w:rPr>
          <w:rFonts w:ascii="Times New Roman" w:hAnsi="Times New Roman" w:cs="Times New Roman"/>
          <w:sz w:val="24"/>
          <w:szCs w:val="24"/>
        </w:rPr>
        <w:t>Trata-se do que Saul Newman considera uma “dominação através da subjetivação</w:t>
      </w:r>
      <w:r w:rsidRPr="009034E2">
        <w:rPr>
          <w:rFonts w:ascii="Times New Roman" w:eastAsia="Aptos" w:hAnsi="Times New Roman" w:cs="Times New Roman"/>
          <w:color w:val="000000" w:themeColor="text1"/>
          <w:sz w:val="24"/>
          <w:szCs w:val="24"/>
          <w:lang w:val="en-US"/>
        </w:rPr>
        <w:t>” (NEWMAN, 2001a:63). A subjetividade essencialista explica de que forma o poder opera psicologicamente, pois é no “</w:t>
      </w:r>
      <w:r w:rsidRPr="009034E2">
        <w:rPr>
          <w:rFonts w:ascii="Times New Roman" w:eastAsia="Aptos" w:hAnsi="Times New Roman" w:cs="Times New Roman"/>
          <w:color w:val="000000" w:themeColor="text1"/>
          <w:sz w:val="24"/>
          <w:szCs w:val="24"/>
          <w:lang w:val="pt"/>
        </w:rPr>
        <w:t xml:space="preserve">processo de </w:t>
      </w:r>
      <w:r w:rsidRPr="009034E2">
        <w:rPr>
          <w:rFonts w:ascii="Times New Roman" w:eastAsia="Aptos" w:hAnsi="Times New Roman" w:cs="Times New Roman"/>
          <w:i/>
          <w:iCs/>
          <w:color w:val="000000" w:themeColor="text1"/>
          <w:sz w:val="24"/>
          <w:szCs w:val="24"/>
          <w:lang w:val="pt"/>
        </w:rPr>
        <w:t xml:space="preserve">subjetivação, </w:t>
      </w:r>
      <w:r w:rsidRPr="009034E2">
        <w:rPr>
          <w:rFonts w:ascii="Times New Roman" w:eastAsia="Aptos" w:hAnsi="Times New Roman" w:cs="Times New Roman"/>
          <w:color w:val="000000" w:themeColor="text1"/>
          <w:sz w:val="24"/>
          <w:szCs w:val="24"/>
          <w:lang w:val="pt"/>
        </w:rPr>
        <w:t>no qual o poder funciona, não reprimindo diretamente o homem, mas construindo-o como sujeito político” (Newman, 2002:13 – grifo do autor). Trata-se do “</w:t>
      </w:r>
      <w:r w:rsidRPr="009034E2">
        <w:rPr>
          <w:rFonts w:ascii="Times New Roman" w:eastAsia="Aptos" w:hAnsi="Times New Roman" w:cs="Times New Roman"/>
          <w:color w:val="000000" w:themeColor="text1"/>
          <w:sz w:val="24"/>
          <w:szCs w:val="24"/>
        </w:rPr>
        <w:t>poder subjetivador do humanismo iluminista” (NEWMAN, 2001a:61).</w:t>
      </w:r>
    </w:p>
    <w:p w14:paraId="3D350CA7" w14:textId="77777777" w:rsidR="00DD089F" w:rsidRPr="009034E2" w:rsidRDefault="00DD089F" w:rsidP="00B579BF">
      <w:pPr>
        <w:pStyle w:val="SemEspaamento"/>
        <w:spacing w:line="360" w:lineRule="auto"/>
        <w:ind w:firstLine="851"/>
        <w:jc w:val="both"/>
        <w:rPr>
          <w:rFonts w:ascii="Times New Roman" w:eastAsia="Aptos" w:hAnsi="Times New Roman" w:cs="Times New Roman"/>
          <w:sz w:val="24"/>
          <w:szCs w:val="24"/>
          <w:lang w:val="en-US"/>
        </w:rPr>
      </w:pPr>
      <w:r w:rsidRPr="009034E2">
        <w:rPr>
          <w:rFonts w:ascii="Times New Roman" w:eastAsia="Aptos" w:hAnsi="Times New Roman" w:cs="Times New Roman"/>
          <w:sz w:val="24"/>
          <w:szCs w:val="24"/>
        </w:rPr>
        <w:t>Outras vezes, com declarada influência de Michel Foucault, Saul Newman pondera que as “</w:t>
      </w:r>
      <w:r w:rsidRPr="009034E2">
        <w:rPr>
          <w:rFonts w:ascii="Times New Roman" w:eastAsia="Aptos" w:hAnsi="Times New Roman" w:cs="Times New Roman"/>
          <w:color w:val="000000" w:themeColor="text1"/>
          <w:sz w:val="24"/>
          <w:szCs w:val="24"/>
        </w:rPr>
        <w:t>subjetividades humanas são construídas como condutores do poder” (NEWMAN, 2006:47). Ou seja, “</w:t>
      </w:r>
      <w:r w:rsidRPr="009034E2">
        <w:rPr>
          <w:rFonts w:ascii="Times New Roman" w:eastAsia="Aptos" w:hAnsi="Times New Roman" w:cs="Times New Roman"/>
          <w:color w:val="000000" w:themeColor="text1"/>
          <w:sz w:val="24"/>
          <w:szCs w:val="24"/>
          <w:lang w:val="en-US"/>
        </w:rPr>
        <w:t>em vez de haver um sujeito cuja essência humana natural é reprimida pelo poder — como acreditavam os anarquistas — essa forma de subjetividade é na realidade um efeito do poder” (NEWMAN, 2006:40).</w:t>
      </w:r>
    </w:p>
    <w:p w14:paraId="37333ED5"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rPr>
        <w:t xml:space="preserve">A liberdade e o exercício da cidadania, conceitos centrais na política contemporânea, são exemplos de ideais que operam como modos de subjetivação que propagam o poder liberal. A liberdade, condicionada aos padrões morais e consensos racionais da sociedade, implica na imposição de uma “forma específica de subjetividade  — o homem autônomo e racional do Iluminismo e do liberalismo”  </w:t>
      </w:r>
      <w:r w:rsidRPr="009034E2">
        <w:rPr>
          <w:rFonts w:ascii="Times New Roman" w:eastAsia="Aptos" w:hAnsi="Times New Roman" w:cs="Times New Roman"/>
          <w:color w:val="000000" w:themeColor="text1"/>
          <w:sz w:val="24"/>
          <w:szCs w:val="24"/>
          <w:lang w:val="en-US"/>
        </w:rPr>
        <w:t xml:space="preserve">(NEWMAN, 2003a:07). Logo, ao subjetivar essa liberdade conssentida pelo Estado, o indivíduo se torna refém da moralidade burguesa e da racionalidade – um modo se subjetivação, paradoxalmente, submisso à liberdade. </w:t>
      </w:r>
    </w:p>
    <w:p w14:paraId="43FE34E4"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lang w:val="en-US"/>
        </w:rPr>
        <w:t>Processo semelhante ocorre com o exercício da cidadania, regulado a partir de direitos e deveres: “</w:t>
      </w:r>
      <w:r w:rsidRPr="009034E2">
        <w:rPr>
          <w:rFonts w:ascii="Times New Roman" w:eastAsia="Aptos" w:hAnsi="Times New Roman" w:cs="Times New Roman"/>
          <w:color w:val="000000" w:themeColor="text1"/>
          <w:sz w:val="24"/>
          <w:szCs w:val="24"/>
        </w:rPr>
        <w:t>A cidadania é um modo de subjetividade baseado na obediência e na devoção ao Estado moderno”, ou seja, uma “forma de subjetivação liberal” (NEWMAN, 2011b:195). Em outras palavras, a cidadania regula as condutas a partir de normas de comportamento (leis). Ao aspirar ser um bom cidadão, o indivíduo se conformar com o padrão que o domina.</w:t>
      </w:r>
    </w:p>
    <w:p w14:paraId="0A3FDB8F" w14:textId="77777777" w:rsidR="00DD089F" w:rsidRPr="009034E2" w:rsidRDefault="00DD089F" w:rsidP="00B06CE2">
      <w:pPr>
        <w:pStyle w:val="SemEspaamento"/>
        <w:spacing w:after="240"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Em uma primeira acepção, o conceito de subjetividade na obra de Saul Newman significa uma forma de sujeição dos indivíduos. Impor um modo de subjetivação prescrito por forças exteriores ao indivíduo é uma maneira de exercer controle. Assim, a própria essência humana (fundamentada na moralidade e na racionalidade de extração iluminista) é um modo de subjetivação subserviente que obstrui as possibilidades de “liberdade” e “igualdade” - seminais no anarquismo. Em outras palavras, trata-se de um modo de subjetivação submisso à autoridade da “natureza humana universal”. Igualmente, os modos de subjetivação surgem como principal forma de exercício de poder nas sociedades modernas liberais, mais eficazes do que os processos de repressão e punição, pois são propagados voluntariamente pelos próprios indivíduos.</w:t>
      </w:r>
    </w:p>
    <w:p w14:paraId="1D3B1746" w14:textId="55FE5D5B" w:rsidR="00DD089F" w:rsidRPr="009034E2" w:rsidRDefault="005E5E1B" w:rsidP="00DD089F">
      <w:pPr>
        <w:pStyle w:val="SemEspaamento"/>
        <w:spacing w:after="240" w:line="360" w:lineRule="auto"/>
        <w:jc w:val="both"/>
        <w:rPr>
          <w:rFonts w:ascii="Times New Roman" w:hAnsi="Times New Roman" w:cs="Times New Roman"/>
          <w:b/>
          <w:bCs/>
          <w:sz w:val="24"/>
          <w:szCs w:val="24"/>
        </w:rPr>
      </w:pPr>
      <w:r w:rsidRPr="009034E2">
        <w:rPr>
          <w:rFonts w:ascii="Times New Roman" w:hAnsi="Times New Roman" w:cs="Times New Roman"/>
          <w:b/>
          <w:bCs/>
          <w:sz w:val="24"/>
          <w:szCs w:val="24"/>
        </w:rPr>
        <w:t>3</w:t>
      </w:r>
      <w:r w:rsidR="00DD089F" w:rsidRPr="009034E2">
        <w:rPr>
          <w:rFonts w:ascii="Times New Roman" w:hAnsi="Times New Roman" w:cs="Times New Roman"/>
          <w:b/>
          <w:bCs/>
          <w:sz w:val="24"/>
          <w:szCs w:val="24"/>
        </w:rPr>
        <w:t>. SUBJETIVIDADE INSURRETA</w:t>
      </w:r>
    </w:p>
    <w:p w14:paraId="7EF88B74" w14:textId="77777777" w:rsidR="00DD089F" w:rsidRPr="009034E2" w:rsidRDefault="00DD089F" w:rsidP="00DD089F">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Submetidos à autoridade de ideais universais, os modos de subjetivação são formas de dominação. Ao responder a conceitos essenciais exteriores, a subjetividade se esforça para se ajustar ao poder alheio que a subjuga. Dessa forma, a subjetividade incorpora e propala os ídolos que reproduzem a ordem social autoritária. Exercer cidadania, ser um bom membro da família, respeitar as leis ou ser um trabalhador honesto são alguns desses ideais que submetem a subjetividade.</w:t>
      </w:r>
    </w:p>
    <w:p w14:paraId="200AD5BB" w14:textId="77777777" w:rsidR="00DD089F" w:rsidRPr="009034E2" w:rsidRDefault="00DD089F" w:rsidP="00DD089F">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Como resistir aos modos de subjetivação essencialistas?</w:t>
      </w:r>
    </w:p>
    <w:p w14:paraId="5AB632AF" w14:textId="77777777" w:rsidR="00DD089F" w:rsidRPr="009034E2" w:rsidRDefault="00DD089F" w:rsidP="00DD089F">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Em síntese, Saul Newman postula a radical destruição das identidades essencialistas impostas à subjetividade, de forma a inaugurar um “nada criativo” que abre possibilidades para a autodeterminação do sujeito no devir da reinvenção de si. Enquanto a essência possui uma emanação abstrata e metafísica, o devir da subjetividade se pretende sensível, empírico e corpóreo; enquanto a ideologia generaliza para normalizar, como no conceito de Homem, a rebelião subjetiva experimenta a multiplicidade das singularidades; por fim, enquanto a essência perpetua a estabilidade, a subjetividade anárquica se compraz com o fluxo.</w:t>
      </w:r>
    </w:p>
    <w:p w14:paraId="1AC355EB" w14:textId="77777777" w:rsidR="00DD089F" w:rsidRPr="009034E2" w:rsidRDefault="00DD089F" w:rsidP="00DD089F">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Acompanhemos os detalhes dessas formulações sobre a subjetividade insurreta em Saul Newman.</w:t>
      </w:r>
    </w:p>
    <w:p w14:paraId="52C3D2E4" w14:textId="77777777" w:rsidR="00DD089F" w:rsidRPr="009034E2" w:rsidRDefault="00DD089F" w:rsidP="00DD089F">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hAnsi="Times New Roman" w:cs="Times New Roman"/>
          <w:sz w:val="24"/>
          <w:szCs w:val="24"/>
        </w:rPr>
        <w:t>A partir da influência de Max Stirner, primeiramente se defende o aspecto individual da insurreição subjetiva, em contraposição ao conceito coletivo de revolução. Enquanto esta última busca a libertação universal do ser humano das instituições opressoras, como o Estado, a insurreição se pauta em uma “autoliberação” pela “</w:t>
      </w:r>
      <w:r w:rsidRPr="009034E2">
        <w:rPr>
          <w:rFonts w:ascii="Times New Roman" w:eastAsia="Aptos" w:hAnsi="Times New Roman" w:cs="Times New Roman"/>
          <w:color w:val="000000" w:themeColor="text1"/>
          <w:sz w:val="24"/>
          <w:szCs w:val="24"/>
          <w:lang w:val="en-US"/>
        </w:rPr>
        <w:t>transformação do eu” (NEWMAN, 2022:01). Em outras palavras, “enquanto a revolução trabalha para transformar as condições e instituições sociais e políticas externas, a insurreição visa a autotransformação de cada um” (NEWMAN, 2021:10).</w:t>
      </w:r>
    </w:p>
    <w:p w14:paraId="3D7E4959"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lang w:val="en-US"/>
        </w:rPr>
        <w:t>Este processo subjetivo se pauta na “experiência vivida” no cotidiano, não em um futuro utópico imaginado (NEWMAN, 2010:65). É o que Saul Newman denomina “</w:t>
      </w:r>
      <w:r w:rsidRPr="009034E2">
        <w:rPr>
          <w:rFonts w:ascii="Times New Roman" w:eastAsia="Aptos" w:hAnsi="Times New Roman" w:cs="Times New Roman"/>
          <w:color w:val="000000" w:themeColor="text1"/>
          <w:sz w:val="24"/>
          <w:szCs w:val="24"/>
        </w:rPr>
        <w:t xml:space="preserve">anarquismo micropolítico”, relacionado à subjetividade, em detrimento de uma revolução macropolítica que englobe o conjunto da sociedade (NEWMAN, 2011b:207). </w:t>
      </w:r>
    </w:p>
    <w:p w14:paraId="30D0B0FA" w14:textId="77777777"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Contudo, obviamente há grande conexão entre a insurreição subjetiva e a revolução social, pois a transformação individual é considerada passo seminal para a revolução coletiva: “</w:t>
      </w:r>
      <w:r w:rsidRPr="009034E2">
        <w:rPr>
          <w:rFonts w:ascii="Times New Roman" w:eastAsia="Aptos" w:hAnsi="Times New Roman" w:cs="Times New Roman"/>
          <w:color w:val="000000" w:themeColor="text1"/>
          <w:sz w:val="24"/>
          <w:szCs w:val="24"/>
          <w:lang w:val="en-US"/>
        </w:rPr>
        <w:t>não visa diretamente destruir o Estado como instituição política, mas destruir o estatismo internalizado que perpetua essa instituição” (NEWMAN, 2019:86).</w:t>
      </w:r>
    </w:p>
    <w:p w14:paraId="512231E6" w14:textId="0ECE15E9"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lang w:val="en-US"/>
        </w:rPr>
      </w:pPr>
      <w:r w:rsidRPr="009034E2">
        <w:rPr>
          <w:rFonts w:ascii="Times New Roman" w:eastAsia="Aptos" w:hAnsi="Times New Roman" w:cs="Times New Roman"/>
          <w:color w:val="000000" w:themeColor="text1"/>
          <w:sz w:val="24"/>
          <w:szCs w:val="24"/>
          <w:lang w:val="en-US"/>
        </w:rPr>
        <w:t>O primeiro passo da</w:t>
      </w:r>
      <w:r w:rsidRPr="009034E2">
        <w:rPr>
          <w:rFonts w:ascii="Times New Roman" w:eastAsia="Aptos" w:hAnsi="Times New Roman" w:cs="Times New Roman"/>
          <w:color w:val="000000" w:themeColor="text1"/>
          <w:sz w:val="24"/>
          <w:szCs w:val="24"/>
        </w:rPr>
        <w:t xml:space="preserve"> rebelião subjetiva consiste na subversão das formas interiorizadas de dominação, impostas no processo de subjetivação essencialista. Nas palavras de Saul Newman, trata-se de </w:t>
      </w:r>
      <w:r w:rsidRPr="009034E2">
        <w:rPr>
          <w:rFonts w:ascii="Times New Roman" w:hAnsi="Times New Roman" w:cs="Times New Roman"/>
          <w:sz w:val="24"/>
          <w:szCs w:val="24"/>
          <w:lang w:val="en-US"/>
        </w:rPr>
        <w:t>“</w:t>
      </w:r>
      <w:r w:rsidRPr="009034E2">
        <w:rPr>
          <w:rFonts w:ascii="Times New Roman" w:hAnsi="Times New Roman" w:cs="Times New Roman"/>
          <w:sz w:val="24"/>
          <w:szCs w:val="24"/>
          <w:lang w:val="pt"/>
        </w:rPr>
        <w:t>escapar da subjetivação – rejeitando a identidade forçada da essência humana”</w:t>
      </w:r>
      <w:r w:rsidRPr="009034E2">
        <w:rPr>
          <w:rFonts w:ascii="Times New Roman" w:hAnsi="Times New Roman" w:cs="Times New Roman"/>
          <w:sz w:val="24"/>
          <w:szCs w:val="24"/>
          <w:lang w:val="en-US"/>
        </w:rPr>
        <w:t xml:space="preserve"> (NEWMAN, 2001a, p. 66); ou </w:t>
      </w:r>
      <w:r w:rsidRPr="009034E2">
        <w:rPr>
          <w:rFonts w:ascii="Times New Roman" w:eastAsia="Aptos" w:hAnsi="Times New Roman" w:cs="Times New Roman"/>
          <w:color w:val="000000" w:themeColor="text1"/>
          <w:sz w:val="24"/>
          <w:szCs w:val="24"/>
          <w:lang w:val="en-US"/>
        </w:rPr>
        <w:t>“</w:t>
      </w:r>
      <w:r w:rsidRPr="009034E2">
        <w:rPr>
          <w:rFonts w:ascii="Times New Roman" w:eastAsia="Aptos" w:hAnsi="Times New Roman" w:cs="Times New Roman"/>
          <w:color w:val="000000" w:themeColor="text1"/>
          <w:sz w:val="24"/>
          <w:szCs w:val="24"/>
        </w:rPr>
        <w:t xml:space="preserve">dispensar as formas internalizadas de dominação e subjetivação, pelas quais nos apegamos a identidades fixas e estabelecidas” (NEWMAN, 2011a:08). O mesmo processo é nomeado, outras vezes, como “transgredir a própria identidade” </w:t>
      </w:r>
      <w:r w:rsidRPr="009034E2">
        <w:rPr>
          <w:rFonts w:ascii="Times New Roman" w:eastAsia="Aptos" w:hAnsi="Times New Roman" w:cs="Times New Roman"/>
          <w:color w:val="000000" w:themeColor="text1"/>
          <w:sz w:val="24"/>
          <w:szCs w:val="24"/>
          <w:lang w:val="en-US"/>
        </w:rPr>
        <w:t xml:space="preserve">(NEWMAN, 2003a:11) ou realizar a linha de </w:t>
      </w:r>
      <w:r w:rsidRPr="009034E2">
        <w:rPr>
          <w:rFonts w:ascii="Times New Roman" w:hAnsi="Times New Roman" w:cs="Times New Roman"/>
          <w:sz w:val="24"/>
          <w:szCs w:val="24"/>
        </w:rPr>
        <w:t>“</w:t>
      </w:r>
      <w:r w:rsidRPr="009034E2">
        <w:rPr>
          <w:rFonts w:ascii="Times New Roman" w:eastAsia="Aptos" w:hAnsi="Times New Roman" w:cs="Times New Roman"/>
          <w:color w:val="000000" w:themeColor="text1"/>
          <w:sz w:val="24"/>
          <w:szCs w:val="24"/>
          <w:lang w:val="en-US"/>
        </w:rPr>
        <w:t>fuga da subjetivação” (NEWMAN, 2010:47).</w:t>
      </w:r>
    </w:p>
    <w:p w14:paraId="27E11E8C" w14:textId="77777777" w:rsidR="00DD089F" w:rsidRPr="009034E2" w:rsidRDefault="00DD089F" w:rsidP="00DD089F">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rPr>
        <w:t>É o processo deliberado de combate aos ideais abstratos, impostos desde fora, tendo em vista a construção da subjetividade a partir de “seu próprio poder” ou seu “poder de autodeterminação” (NEWMAN, 2011b:200). Saul Newman denomina esse processo como “autolibertação” (NEWMAN, 2004:07) ou “</w:t>
      </w:r>
      <w:r w:rsidRPr="009034E2">
        <w:rPr>
          <w:rFonts w:ascii="Times New Roman" w:eastAsia="Aptos" w:hAnsi="Times New Roman" w:cs="Times New Roman"/>
          <w:color w:val="000000" w:themeColor="text1"/>
          <w:sz w:val="24"/>
          <w:szCs w:val="24"/>
          <w:lang w:val="en-US"/>
        </w:rPr>
        <w:t>autoemancipação radical” (NEWMAN, 2022:01).</w:t>
      </w:r>
    </w:p>
    <w:p w14:paraId="025D9A1C"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A destruição dos ideais impostos à subjetividade gera um vazio interior, uma lacuna. Trata-se da experiência stirneriana de “nada criativo”: “Esse vazio na base da existência é um nada criativo, um princípio de diferença por meio do qual novas pluralidades e multiplicidades podem ser formadas” (NEWMAN, 2003b:09).</w:t>
      </w:r>
    </w:p>
    <w:p w14:paraId="5BEDCEF4"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Exatamente esse processo dá ensejo para a expressão “anarquismo da subjetividade”: “uma abertura radical que o indivíduo pode usar para criar sua própria subjetividade e não ser limitado por essências” (NEWMAN, 2001a:68). Ou seja, é um processo anarquista na medida em que promove a destruição das formas autoritárias internalizadas na subjetividade, mas também por sua possibilidade de criação de novos modos de subjetivação.</w:t>
      </w:r>
    </w:p>
    <w:p w14:paraId="4D295BFB" w14:textId="77777777"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O “nada criativo” sempre vincula o vão à invenção, como uma brecha: “é um vazio do qual emerge um processo contínuo de autocriação” (NEWMAN, 2011b:204). Ainda sob influência de Max Stirner, o nada criativo possui uma feição ontológica que define o ego individual: em detrimento de se constituir como núcleo ou identidade fixa, “o ego é uma espécie de ausência radical, um campo ontológico de possibilidades e potencialidades que está sempre em fluxo, sempre se tornando” (NEWMAN, 2011b:204). Adentramos assim na característica mais marcante da subjetividade insurreta: “reinventar continuamente o próprio eu” (NEWMAN, 2001a:66).</w:t>
      </w:r>
    </w:p>
    <w:p w14:paraId="46BA87E5"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Quais as características desse fluxo criativo da subjetividade?</w:t>
      </w:r>
    </w:p>
    <w:p w14:paraId="7CFC429D"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Em função da destruição das essências universais e dos processos de subjetivação submissa, a autocriação rejeita quaisquer determinações externas, pois “</w:t>
      </w:r>
      <w:r w:rsidRPr="009034E2">
        <w:rPr>
          <w:rFonts w:ascii="Times New Roman" w:eastAsia="Aptos" w:hAnsi="Times New Roman" w:cs="Times New Roman"/>
          <w:color w:val="000000" w:themeColor="text1"/>
          <w:sz w:val="24"/>
          <w:szCs w:val="24"/>
          <w:lang w:val="en-US"/>
        </w:rPr>
        <w:t>é um espaço aberto e fluido – uma espécie de devir contínuo sem qualquer fundamento, essência ou destino” (NEWMAN, 2017:18). Ou seja, a subjetividade é ontologicamente livre para desenvolver sua autocriação sem o peso de “q</w:t>
      </w:r>
      <w:r w:rsidRPr="009034E2">
        <w:rPr>
          <w:rFonts w:ascii="Times New Roman" w:eastAsia="Aptos" w:hAnsi="Times New Roman" w:cs="Times New Roman"/>
          <w:color w:val="000000" w:themeColor="text1"/>
          <w:sz w:val="24"/>
          <w:szCs w:val="24"/>
        </w:rPr>
        <w:t>ualquer tipo de ideal moral ou telos racional” (NEWMAN, 2019:172).</w:t>
      </w:r>
    </w:p>
    <w:p w14:paraId="74948CD9" w14:textId="77777777"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A figura emblemática do processo de destruição da essência, princípio ou vocação é o “</w:t>
      </w:r>
      <w:r w:rsidRPr="009034E2">
        <w:rPr>
          <w:rFonts w:ascii="Times New Roman" w:eastAsia="Aptos" w:hAnsi="Times New Roman" w:cs="Times New Roman"/>
          <w:color w:val="000000" w:themeColor="text1"/>
          <w:sz w:val="24"/>
          <w:szCs w:val="24"/>
        </w:rPr>
        <w:t>não-homem (</w:t>
      </w:r>
      <w:r w:rsidRPr="009034E2">
        <w:rPr>
          <w:rFonts w:ascii="Times New Roman" w:eastAsia="Aptos" w:hAnsi="Times New Roman" w:cs="Times New Roman"/>
          <w:i/>
          <w:iCs/>
          <w:color w:val="000000" w:themeColor="text1"/>
          <w:sz w:val="24"/>
          <w:szCs w:val="24"/>
        </w:rPr>
        <w:t>Unmensch</w:t>
      </w:r>
      <w:r w:rsidRPr="009034E2">
        <w:rPr>
          <w:rFonts w:ascii="Times New Roman" w:eastAsia="Aptos" w:hAnsi="Times New Roman" w:cs="Times New Roman"/>
          <w:color w:val="000000" w:themeColor="text1"/>
          <w:sz w:val="24"/>
          <w:szCs w:val="24"/>
        </w:rPr>
        <w:t>)” formulado por Max Stirner. Ao recusar o ideal de humanidade, a subjetividade não se submete às expectativas morais e racionais dos comportamentos prescritos pelo conceito de humano (</w:t>
      </w:r>
      <w:r w:rsidRPr="009034E2">
        <w:rPr>
          <w:rFonts w:ascii="Times New Roman" w:eastAsia="Aptos" w:hAnsi="Times New Roman" w:cs="Times New Roman"/>
          <w:color w:val="000000" w:themeColor="text1"/>
          <w:sz w:val="24"/>
          <w:szCs w:val="24"/>
          <w:lang w:val="en-US"/>
        </w:rPr>
        <w:t>NEWMAN</w:t>
      </w:r>
      <w:r w:rsidRPr="009034E2">
        <w:rPr>
          <w:rFonts w:ascii="Times New Roman" w:eastAsia="Aptos" w:hAnsi="Times New Roman" w:cs="Times New Roman"/>
          <w:color w:val="000000" w:themeColor="text1"/>
          <w:sz w:val="24"/>
          <w:szCs w:val="24"/>
        </w:rPr>
        <w:t xml:space="preserve">, 2002:16). O “não-homem” destaca uma forma criativa de se constituir como outro ou diverso, mas também afrontar o ideal de homem, ser “o outro do humanismo” </w:t>
      </w:r>
      <w:r w:rsidRPr="009034E2">
        <w:rPr>
          <w:rFonts w:ascii="Times New Roman" w:eastAsia="Aptos" w:hAnsi="Times New Roman" w:cs="Times New Roman"/>
          <w:color w:val="000000" w:themeColor="text1"/>
          <w:sz w:val="24"/>
          <w:szCs w:val="24"/>
          <w:lang w:val="pt"/>
        </w:rPr>
        <w:t>(NEWMAN, 2001b:18).</w:t>
      </w:r>
    </w:p>
    <w:p w14:paraId="01EC5EF1" w14:textId="77777777"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Ser outro ou alteridade implica em um movimento de experimentação de modos de ser que não se prendem a qualquer unidade coerente ou estável: “</w:t>
      </w:r>
      <w:r w:rsidRPr="009034E2">
        <w:rPr>
          <w:rFonts w:ascii="Times New Roman" w:eastAsia="Aptos" w:hAnsi="Times New Roman" w:cs="Times New Roman"/>
          <w:color w:val="000000" w:themeColor="text1"/>
          <w:sz w:val="24"/>
          <w:szCs w:val="24"/>
          <w:lang w:val="en-US"/>
        </w:rPr>
        <w:t>uma liberdade para constituir nossa subjetividade de uma infinidade de maneiras diferentes” (NEWMAN, 2017:23). Há uma implicação psicológica e ética nesse processo de variação individual. Psicológica pois “</w:t>
      </w:r>
      <w:r w:rsidRPr="009034E2">
        <w:rPr>
          <w:rFonts w:ascii="Times New Roman" w:eastAsia="Aptos" w:hAnsi="Times New Roman" w:cs="Times New Roman"/>
          <w:color w:val="000000" w:themeColor="text1"/>
          <w:sz w:val="24"/>
          <w:szCs w:val="24"/>
        </w:rPr>
        <w:t>o indivíduo experimenta constantemente diferentes formas de existência, diferentes maneiras de se relacionar consigo mesmo” (NEWMAN, 2011b:201); ética, uma vez que inclui a “experimentação de formas diferentes e mais autônomas de viver e se relacionar com os outros” (NEWMAN, 2011a:08).</w:t>
      </w:r>
    </w:p>
    <w:p w14:paraId="6402EBA3" w14:textId="77777777"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A menção à esfera ética é importante para ressaltar que o aspecto relacional da criação de si mesmo. Há uma reverberação coletiva da anarquia da subjetividade, uma vez que a reprodução de relações autoritárias de poder é internalizada a partir de identidades estáveis. Neste sentido, inventar novas formas de se viver é uma forma de rebeldia contra as instituições autoritárias - cuja manutenção depende da submissão subjetiva (NEWMAN, 2011b:201).</w:t>
      </w:r>
    </w:p>
    <w:p w14:paraId="5F16ACE0"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hAnsi="Times New Roman" w:cs="Times New Roman"/>
          <w:sz w:val="24"/>
          <w:szCs w:val="24"/>
        </w:rPr>
        <w:t>Por vezes, Saul Newman denomina o fluxo criativo da subjetividade individual como “políticas do ego”. A partir de Michel Foucault e Max Stirner, o “ego” é considerado um espaço aberto de criação, a partir da autodeterminação ou autonomia do indivíduo. As políticas do ego implicam em “</w:t>
      </w:r>
      <w:r w:rsidRPr="009034E2">
        <w:rPr>
          <w:rFonts w:ascii="Times New Roman" w:eastAsia="Aptos" w:hAnsi="Times New Roman" w:cs="Times New Roman"/>
          <w:color w:val="000000" w:themeColor="text1"/>
          <w:sz w:val="24"/>
          <w:szCs w:val="24"/>
        </w:rPr>
        <w:t>criar novas subjetividades e espaços de autonomia para o indivíduo”, pautados na “</w:t>
      </w:r>
      <w:r w:rsidRPr="009034E2">
        <w:rPr>
          <w:rFonts w:ascii="Times New Roman" w:eastAsia="Aptos" w:hAnsi="Times New Roman" w:cs="Times New Roman"/>
          <w:color w:val="000000" w:themeColor="text1"/>
          <w:sz w:val="24"/>
          <w:szCs w:val="24"/>
          <w:lang w:val="pt"/>
        </w:rPr>
        <w:t>afirmação da diferença e pluralidade”</w:t>
      </w:r>
      <w:r w:rsidRPr="009034E2">
        <w:rPr>
          <w:rFonts w:ascii="Times New Roman" w:eastAsia="Aptos" w:hAnsi="Times New Roman" w:cs="Times New Roman"/>
          <w:color w:val="000000" w:themeColor="text1"/>
          <w:sz w:val="24"/>
          <w:szCs w:val="24"/>
        </w:rPr>
        <w:t xml:space="preserve"> </w:t>
      </w:r>
      <w:r w:rsidRPr="009034E2">
        <w:rPr>
          <w:rFonts w:ascii="Times New Roman" w:eastAsia="Aptos" w:hAnsi="Times New Roman" w:cs="Times New Roman"/>
          <w:color w:val="000000" w:themeColor="text1"/>
          <w:sz w:val="24"/>
          <w:szCs w:val="24"/>
          <w:lang w:val="pt"/>
        </w:rPr>
        <w:t>(</w:t>
      </w:r>
      <w:r w:rsidRPr="009034E2">
        <w:rPr>
          <w:rFonts w:ascii="Times New Roman" w:eastAsia="Aptos" w:hAnsi="Times New Roman" w:cs="Times New Roman"/>
          <w:color w:val="000000" w:themeColor="text1"/>
          <w:sz w:val="24"/>
          <w:szCs w:val="24"/>
        </w:rPr>
        <w:t>NEWMAN, 2002:15).</w:t>
      </w:r>
    </w:p>
    <w:p w14:paraId="03F2E3FF"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Outras vezes, Saul Newman denomina a criação de subjetividades insurretas como “políticas da singularidade”: “A singularidade é a expressão política e ética da riqueza e intensidade corpóreas da vida” (NEWMAN, 2003b:15). Nesse sentido, em diálogo com Max Stirner e Gilles Deleuze, enfatiza o “empirismo” e a “pluralidade”. O empirismo se relaciona à experimentação concreta de novos modos de subjetivação, conjugados sensivelmente a partir do corpo. A pluralidade ou multiplicidade fortalecem a diferença e a diversidade de subjetividades, em contraposição à uniformidade imposta pelos conceitos essencialistas (NEWMAN, 2003b).</w:t>
      </w:r>
    </w:p>
    <w:p w14:paraId="18216037" w14:textId="77777777"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A disposição antiautoritária e autodeterminada da subjetividade insurreta leva Saul Newman a nomeá-la como “</w:t>
      </w:r>
      <w:r w:rsidRPr="009034E2">
        <w:rPr>
          <w:rFonts w:ascii="Times New Roman" w:hAnsi="Times New Roman" w:cs="Times New Roman"/>
          <w:sz w:val="24"/>
          <w:szCs w:val="24"/>
          <w:lang w:val="pt"/>
        </w:rPr>
        <w:t xml:space="preserve">autoconstituição anárquica” </w:t>
      </w:r>
      <w:r w:rsidRPr="009034E2">
        <w:rPr>
          <w:rFonts w:ascii="Times New Roman" w:hAnsi="Times New Roman" w:cs="Times New Roman"/>
          <w:sz w:val="24"/>
          <w:szCs w:val="24"/>
          <w:lang w:val="en-US"/>
        </w:rPr>
        <w:t>(NEWMAN, 2021:08). Seu processo de constituição interminável, a partir da abertura e multiplicidade, faz com que tais subjetividades escapem ao controle, uma vez que “</w:t>
      </w:r>
      <w:r w:rsidRPr="009034E2">
        <w:rPr>
          <w:rFonts w:ascii="Times New Roman" w:eastAsia="Aptos" w:hAnsi="Times New Roman" w:cs="Times New Roman"/>
          <w:color w:val="000000" w:themeColor="text1"/>
          <w:sz w:val="24"/>
          <w:szCs w:val="24"/>
          <w:lang w:val="en-US"/>
        </w:rPr>
        <w:t>não podem ser representadas de forma clara, determinada e coerente” (NEWMAN, 2019:85).</w:t>
      </w:r>
    </w:p>
    <w:p w14:paraId="5374E8C2" w14:textId="77777777" w:rsidR="00DD089F" w:rsidRPr="009034E2" w:rsidRDefault="00DD089F" w:rsidP="00B06CE2">
      <w:pPr>
        <w:pStyle w:val="SemEspaamento"/>
        <w:spacing w:after="240"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Da mesma forma que a subjetividade individual destrói os ideais essenciais para se constituir de forma autodeterminada e plural, a subjetividade coletiva radical segue o mesmo devir antiautoritário.</w:t>
      </w:r>
    </w:p>
    <w:p w14:paraId="220606BC" w14:textId="182B50F9" w:rsidR="00DD089F" w:rsidRPr="009034E2" w:rsidRDefault="005E5E1B" w:rsidP="00DD089F">
      <w:pPr>
        <w:pStyle w:val="SemEspaamento"/>
        <w:spacing w:after="240" w:line="360" w:lineRule="auto"/>
        <w:jc w:val="both"/>
        <w:rPr>
          <w:rFonts w:ascii="Times New Roman" w:hAnsi="Times New Roman" w:cs="Times New Roman"/>
          <w:b/>
          <w:bCs/>
          <w:sz w:val="24"/>
          <w:szCs w:val="24"/>
        </w:rPr>
      </w:pPr>
      <w:r w:rsidRPr="009034E2">
        <w:rPr>
          <w:rFonts w:ascii="Times New Roman" w:hAnsi="Times New Roman" w:cs="Times New Roman"/>
          <w:b/>
          <w:bCs/>
          <w:sz w:val="24"/>
          <w:szCs w:val="24"/>
        </w:rPr>
        <w:t>4</w:t>
      </w:r>
      <w:r w:rsidR="00DD089F" w:rsidRPr="009034E2">
        <w:rPr>
          <w:rFonts w:ascii="Times New Roman" w:hAnsi="Times New Roman" w:cs="Times New Roman"/>
          <w:b/>
          <w:bCs/>
          <w:sz w:val="24"/>
          <w:szCs w:val="24"/>
        </w:rPr>
        <w:t>. SUBJETIVIDADE COLETIVA RADICAL</w:t>
      </w:r>
    </w:p>
    <w:p w14:paraId="5C3D29F2" w14:textId="77777777" w:rsidR="00DD089F" w:rsidRPr="009034E2" w:rsidRDefault="00DD089F" w:rsidP="00B06CE2">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 xml:space="preserve">O conceito de subjetividade em Saul Newman não se refere apenas as individualidades particulares, mas também ao sujeito político coletivo. A “subjetividade radical” ou “revolucionária” compreende o agente responsável pela transformação social.  </w:t>
      </w:r>
    </w:p>
    <w:p w14:paraId="317F05FA" w14:textId="77777777" w:rsidR="00DD089F" w:rsidRPr="009034E2" w:rsidRDefault="00DD089F" w:rsidP="00DD089F">
      <w:pPr>
        <w:pStyle w:val="SemEspaamento"/>
        <w:spacing w:line="360" w:lineRule="auto"/>
        <w:ind w:firstLine="709"/>
        <w:jc w:val="both"/>
        <w:rPr>
          <w:rFonts w:ascii="Times New Roman" w:eastAsia="Aptos" w:hAnsi="Times New Roman" w:cs="Times New Roman"/>
          <w:color w:val="000000" w:themeColor="text1"/>
          <w:sz w:val="24"/>
          <w:szCs w:val="24"/>
          <w:lang w:val="en-US"/>
        </w:rPr>
      </w:pPr>
      <w:r w:rsidRPr="009034E2">
        <w:rPr>
          <w:rFonts w:ascii="Times New Roman" w:hAnsi="Times New Roman" w:cs="Times New Roman"/>
          <w:sz w:val="24"/>
          <w:szCs w:val="24"/>
        </w:rPr>
        <w:t>Nos marxismos, por exemplo, a “classe trabalhadora” era considerada a “</w:t>
      </w:r>
      <w:r w:rsidRPr="009034E2">
        <w:rPr>
          <w:rFonts w:ascii="Times New Roman" w:eastAsia="Aptos" w:hAnsi="Times New Roman" w:cs="Times New Roman"/>
          <w:color w:val="000000" w:themeColor="text1"/>
          <w:sz w:val="24"/>
          <w:szCs w:val="24"/>
          <w:lang w:val="en-US"/>
        </w:rPr>
        <w:t>subjetividade política radical” (NEWMAN, 2006:33). Tal subjetividade se baseia em um “essencialismo de classe e determinismo econômico” como “sujeito universal emancipador” (NEWMAN, 2006:33). Ou seja, a classe trabalhadora seria naturalmente o agente revolucionário por sua situação no modo de produção capitalista, cuja conscientização das formas de econômicas de exploração geraria a superação dialética comunista. Tal essencialismo é flagrante, ainda, na idealização de uma sociedade sem classes organizada a partir da coletivização dos modos de produção e uma igualdade social inexorável.</w:t>
      </w:r>
    </w:p>
    <w:p w14:paraId="71151239"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rPr>
        <w:t>Saul Newman critica o papel centralizador e universal do vanguardismo do “proletariado exclusivista”, pois subordina a diversidade das lutas sociais ao partido comunista e reduz à economia-política outras múltiplas formas de dominação - tais como o ra</w:t>
      </w:r>
      <w:r w:rsidRPr="009034E2">
        <w:rPr>
          <w:rFonts w:ascii="Times New Roman" w:eastAsia="Aptos" w:hAnsi="Times New Roman" w:cs="Times New Roman"/>
          <w:color w:val="000000" w:themeColor="text1"/>
          <w:sz w:val="24"/>
          <w:szCs w:val="24"/>
          <w:lang w:val="en-US"/>
        </w:rPr>
        <w:t>cismo, a desigualdade de gêneros, a degradação ambiental, etc. (NEWMAN, 2006).</w:t>
      </w:r>
    </w:p>
    <w:p w14:paraId="5068FCB5" w14:textId="77777777"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Como vimos anteriormente, o ideal do cidadão ou os direitos humanos universais, frutos das revoluções burguesas, também exercem a dominação estatal por meio de uma “subjetividade política geral e anônima” que “reduz toda diferença individual” (NEWMAN, 2011b:194).</w:t>
      </w:r>
    </w:p>
    <w:p w14:paraId="66B38A16"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rPr>
        <w:t>O anarquismo clássico, igualmente, fundamenta-se em uma subjetividade coletiva essencialista incontaminada pelo poder, dada sua disposição natural e inata para a igualdade e liberdade: “</w:t>
      </w:r>
      <w:r w:rsidRPr="009034E2">
        <w:rPr>
          <w:rFonts w:ascii="Times New Roman" w:eastAsia="Aptos" w:hAnsi="Times New Roman" w:cs="Times New Roman"/>
          <w:color w:val="000000" w:themeColor="text1"/>
          <w:sz w:val="24"/>
          <w:szCs w:val="24"/>
          <w:lang w:val="en-US"/>
        </w:rPr>
        <w:t xml:space="preserve">o sujeito revolucionário essencial, uma identidade ou lugar de resistência fora da ordem do poder” (NEWMAN, 2006:45). Saul Newman considera haver um “determinismo histórico” no anarquismo clássico, quando postula o processo revolucionário desencadeado pela supressão do poder centralizado e a organização solidária dos indivíduos livremente associados. </w:t>
      </w:r>
    </w:p>
    <w:p w14:paraId="10C56222" w14:textId="77777777"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lang w:val="en-US"/>
        </w:rPr>
      </w:pPr>
      <w:r w:rsidRPr="009034E2">
        <w:rPr>
          <w:rFonts w:ascii="Times New Roman" w:eastAsia="Aptos" w:hAnsi="Times New Roman" w:cs="Times New Roman"/>
          <w:color w:val="000000" w:themeColor="text1"/>
          <w:sz w:val="24"/>
          <w:szCs w:val="24"/>
          <w:lang w:val="en-US"/>
        </w:rPr>
        <w:t>No âmbito da subjetividade individual ou coletiva repete-se a crítica ao essencialismo com a submissão do sujeito a determinações externas. Saul Newman considera que se deve enxergar a subjetividade sempre de forma “contingente e indeterminada” (NEWMAN, 2019:83).</w:t>
      </w:r>
    </w:p>
    <w:p w14:paraId="7F527AA7"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rPr>
        <w:t>A indeterminação da subjetividade se relaciona à ruptura com “essências” pré-estabelecidas, “princípios absolutos” ou “imutáveis”: “</w:t>
      </w:r>
      <w:r w:rsidRPr="009034E2">
        <w:rPr>
          <w:rFonts w:ascii="Times New Roman" w:eastAsia="Aptos" w:hAnsi="Times New Roman" w:cs="Times New Roman"/>
          <w:color w:val="000000" w:themeColor="text1"/>
          <w:sz w:val="24"/>
          <w:szCs w:val="24"/>
          <w:lang w:val="en-US"/>
        </w:rPr>
        <w:t xml:space="preserve">São significados a serem disputados e pelos quais se luta. São contingentes” (NEWMAN, 2019:84). Em outras palavras, há uma construção ininterrupta das ações e sentidos da luta revolucionária, sem determinação prévia. Tal indeterminação torna a subjetividade coletiva imprevisível e indefinida. </w:t>
      </w:r>
    </w:p>
    <w:p w14:paraId="1A3863BD"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lang w:val="en-US"/>
        </w:rPr>
        <w:t xml:space="preserve">Contudo, essa indeterminação é “contingente e situada” (NEWMAN, 2010:59). Em outras palavras, depende do contexto em que está inserida, o espaço e o tempo, a cultura e o momento histórico. </w:t>
      </w:r>
    </w:p>
    <w:p w14:paraId="005701EF" w14:textId="77777777"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lang w:val="en-US"/>
        </w:rPr>
      </w:pPr>
      <w:r w:rsidRPr="009034E2">
        <w:rPr>
          <w:rFonts w:ascii="Times New Roman" w:eastAsia="Aptos" w:hAnsi="Times New Roman" w:cs="Times New Roman"/>
          <w:color w:val="000000" w:themeColor="text1"/>
          <w:sz w:val="24"/>
          <w:szCs w:val="24"/>
        </w:rPr>
        <w:t>Há dois exemplos mencionados por Saul Newman que ilustram a subjetividade política contingente e indeterminada. Para Max Stirner (</w:t>
      </w:r>
      <w:r w:rsidRPr="009034E2">
        <w:rPr>
          <w:rFonts w:ascii="Times New Roman" w:hAnsi="Times New Roman" w:cs="Times New Roman"/>
          <w:sz w:val="24"/>
          <w:szCs w:val="24"/>
        </w:rPr>
        <w:t>1844/2004, p. 245)</w:t>
      </w:r>
      <w:r w:rsidRPr="009034E2">
        <w:rPr>
          <w:rFonts w:ascii="Times New Roman" w:eastAsia="Aptos" w:hAnsi="Times New Roman" w:cs="Times New Roman"/>
          <w:color w:val="000000" w:themeColor="text1"/>
          <w:sz w:val="24"/>
          <w:szCs w:val="24"/>
        </w:rPr>
        <w:t xml:space="preserve">, a “união de egoístas” é formada por pessoas livremente associadas que “multiplicam a força” de cada individualidade participante. Saul Newman associa esta ideia aos coletivos contemporâneos ou “grupo de afinidade”, em que as pessoas agem diretamente, sem formas hierárquicas de representatividade, e “determinam livremente suas próprias práticas, relações e modos de vida fora do controle de instituições centralizadas” (NEWMAN, 2011a:09). </w:t>
      </w:r>
    </w:p>
    <w:p w14:paraId="24F1F11D" w14:textId="77777777" w:rsidR="00DD089F" w:rsidRPr="009034E2" w:rsidRDefault="00DD089F" w:rsidP="00B06CE2">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 xml:space="preserve">Tal entendimento se repete na análise do Saul Newman do “movimento global anti-capitalista” do final da década de 1990’ ou dos movimentos de ocupação de espaços públicos da década de 2010’ (como o </w:t>
      </w:r>
      <w:r w:rsidRPr="009034E2">
        <w:rPr>
          <w:rFonts w:ascii="Times New Roman" w:hAnsi="Times New Roman" w:cs="Times New Roman"/>
          <w:i/>
          <w:iCs/>
          <w:sz w:val="24"/>
          <w:szCs w:val="24"/>
        </w:rPr>
        <w:t>Occupy Wall Street</w:t>
      </w:r>
      <w:r w:rsidRPr="009034E2">
        <w:rPr>
          <w:rFonts w:ascii="Times New Roman" w:hAnsi="Times New Roman" w:cs="Times New Roman"/>
          <w:sz w:val="24"/>
          <w:szCs w:val="24"/>
        </w:rPr>
        <w:t>). Há, nessas práticas, “</w:t>
      </w:r>
      <w:r w:rsidRPr="009034E2">
        <w:rPr>
          <w:rFonts w:ascii="Times New Roman" w:hAnsi="Times New Roman" w:cs="Times New Roman"/>
          <w:sz w:val="24"/>
          <w:szCs w:val="24"/>
          <w:lang w:val="en-US"/>
        </w:rPr>
        <w:t>novas formas de organização horizontal ou ‘em rede’ e de ação direta” que caracterizam um “‘momento anarquista’ dos movimentos sociais” (NEWMAN, 2019:81).</w:t>
      </w:r>
    </w:p>
    <w:p w14:paraId="70BB9D5B"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Trata-se de uma “nova forma de política radical” que “unifica diferentes identidades numa luta comum”, desenvolvendo a diversidade de ações “no decorrer da própria luta” (NEWMAN, 2006:32). Saul Newman considera a subjetividade radical anarquista nesses termos: “</w:t>
      </w:r>
      <w:r w:rsidRPr="009034E2">
        <w:rPr>
          <w:rFonts w:ascii="Times New Roman" w:eastAsia="Aptos" w:hAnsi="Times New Roman" w:cs="Times New Roman"/>
          <w:color w:val="000000" w:themeColor="text1"/>
          <w:sz w:val="24"/>
          <w:szCs w:val="24"/>
          <w:lang w:val="en-US"/>
        </w:rPr>
        <w:t>É a recusa das políticas hierárquicas e centralizadoras, essa abertura a uma pluralidade de diferentes identidades e lutas, que faz do movimento anti-globalização um movimento anarquista”. Ressalta, inclusive, que tais grupos não necessariamente se identificam com o pensamento anarquista, mas “incorporam formas anárquicas de política em sua estrutura e organização — que é descentralizada, pluralista e democrática — assim como a sua política inclusiva” (NEWMAN, 2006:32).</w:t>
      </w:r>
    </w:p>
    <w:p w14:paraId="6890A0A5" w14:textId="77777777" w:rsidR="00DD089F" w:rsidRPr="009034E2" w:rsidRDefault="00DD089F" w:rsidP="00B06CE2">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Trata-se de construir “espaços políticos autônomos” em relação ao Estado, partido e sindicatos, instituições oficiais que centralizam o poder em hierarquias rígidas. O movimento alter-globalização, lutas em torno dos direitos humanos, meio ambiente ou identidade indígena são citados como exemplos emblemáticos (NEWMAN, 2011/2023:03).  Entretanto, Saul Newman destaca o quanto a constituição da subjetividade coletiva está vinculada a criação de novos modos individuais de subjetivação:</w:t>
      </w:r>
    </w:p>
    <w:p w14:paraId="0F6FCC0F" w14:textId="77777777" w:rsidR="00DD089F" w:rsidRPr="009E3A67" w:rsidRDefault="00DD089F" w:rsidP="00DD089F">
      <w:pPr>
        <w:pStyle w:val="SemEspaamento"/>
        <w:ind w:left="2268"/>
        <w:jc w:val="both"/>
        <w:rPr>
          <w:rFonts w:ascii="Times New Roman" w:eastAsia="Aptos" w:hAnsi="Times New Roman" w:cs="Times New Roman"/>
          <w:color w:val="000000" w:themeColor="text1"/>
          <w:sz w:val="20"/>
          <w:szCs w:val="20"/>
          <w:lang w:val="en-US"/>
        </w:rPr>
      </w:pPr>
    </w:p>
    <w:p w14:paraId="4EF4276D" w14:textId="77777777" w:rsidR="00DD089F" w:rsidRPr="009E3A67" w:rsidRDefault="00DD089F" w:rsidP="00DD089F">
      <w:pPr>
        <w:pStyle w:val="SemEspaamento"/>
        <w:ind w:left="2268"/>
        <w:jc w:val="both"/>
        <w:rPr>
          <w:rFonts w:ascii="Times New Roman" w:eastAsia="Aptos" w:hAnsi="Times New Roman" w:cs="Times New Roman"/>
          <w:color w:val="000000" w:themeColor="text1"/>
          <w:sz w:val="20"/>
          <w:szCs w:val="20"/>
          <w:lang w:val="en-US"/>
        </w:rPr>
      </w:pPr>
      <w:r w:rsidRPr="009E3A67">
        <w:rPr>
          <w:rFonts w:ascii="Times New Roman" w:eastAsia="Aptos" w:hAnsi="Times New Roman" w:cs="Times New Roman"/>
          <w:color w:val="000000" w:themeColor="text1"/>
          <w:sz w:val="20"/>
          <w:szCs w:val="20"/>
          <w:lang w:val="en-US"/>
        </w:rPr>
        <w:t>A ação política radical não deve visar apenas à derrubada de instituições estabelecidas, como o Estado, mas também ao ataque à relação muito mais problemática por meio da qual o sujeito é cativado e dependente do poder. A insurreição, portanto, não se dirige apenas à opressão externa, mas, mais fundamentalmente, à dominação internalizada do eu (NEWMAN, 2010:67).</w:t>
      </w:r>
    </w:p>
    <w:p w14:paraId="0799617C" w14:textId="77777777" w:rsidR="00DD089F" w:rsidRPr="009E3A67" w:rsidRDefault="00DD089F" w:rsidP="00DD089F">
      <w:pPr>
        <w:pStyle w:val="SemEspaamento"/>
        <w:ind w:left="2268"/>
        <w:jc w:val="both"/>
        <w:rPr>
          <w:rFonts w:ascii="Times New Roman" w:eastAsia="Aptos" w:hAnsi="Times New Roman" w:cs="Times New Roman"/>
          <w:sz w:val="20"/>
          <w:szCs w:val="20"/>
        </w:rPr>
      </w:pPr>
    </w:p>
    <w:p w14:paraId="223D8034" w14:textId="77777777" w:rsidR="00DD089F" w:rsidRPr="009034E2" w:rsidRDefault="00DD089F" w:rsidP="000A4928">
      <w:pPr>
        <w:pStyle w:val="SemEspaamento"/>
        <w:spacing w:after="240"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Há, portanto, um entrelaçamento entre as subjetividades individuais e coletivas cujo fluxo criativo é aberto pela ausência de essências autoritárias determinadas de antemão. Tal processo será generalizado para o conceito de “ontologia anarquista”, no qual as subjetividades individuais e coletivas serão integradas.</w:t>
      </w:r>
    </w:p>
    <w:p w14:paraId="4B28F2D9" w14:textId="110439C7" w:rsidR="00DD089F" w:rsidRPr="009034E2" w:rsidRDefault="005E5E1B" w:rsidP="00DD089F">
      <w:pPr>
        <w:pStyle w:val="SemEspaamento"/>
        <w:spacing w:after="240" w:line="360" w:lineRule="auto"/>
        <w:jc w:val="both"/>
        <w:rPr>
          <w:rFonts w:ascii="Times New Roman" w:hAnsi="Times New Roman" w:cs="Times New Roman"/>
          <w:b/>
          <w:bCs/>
          <w:sz w:val="24"/>
          <w:szCs w:val="24"/>
        </w:rPr>
      </w:pPr>
      <w:r w:rsidRPr="009034E2">
        <w:rPr>
          <w:rFonts w:ascii="Times New Roman" w:hAnsi="Times New Roman" w:cs="Times New Roman"/>
          <w:b/>
          <w:bCs/>
          <w:sz w:val="24"/>
          <w:szCs w:val="24"/>
        </w:rPr>
        <w:t>5</w:t>
      </w:r>
      <w:r w:rsidR="00DD089F" w:rsidRPr="009034E2">
        <w:rPr>
          <w:rFonts w:ascii="Times New Roman" w:hAnsi="Times New Roman" w:cs="Times New Roman"/>
          <w:b/>
          <w:bCs/>
          <w:sz w:val="24"/>
          <w:szCs w:val="24"/>
        </w:rPr>
        <w:t>. ONTOLOGIA ANARQUISTA</w:t>
      </w:r>
    </w:p>
    <w:p w14:paraId="7CF948D1" w14:textId="77777777" w:rsidR="00DD089F" w:rsidRPr="009034E2" w:rsidRDefault="00DD089F" w:rsidP="000A4928">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O devir da subjetividade individual é o processo ininterrupto de (re)invenção de si, a partir da destruição dos modos de subjetivação essencialistas e da internalização da sujeição autoritária. Por outro lado, a subjetividade coletiva ressalta as práticas políticas pautadas na ação direta, na horizontalidade das relações e na pluralidade de perspectivas/discursos, em detrimento da centralização hierárquica do partido de vanguarda e seu reducionismo economicista na ideia essencialista de classe.</w:t>
      </w:r>
    </w:p>
    <w:p w14:paraId="026B7FE7" w14:textId="77777777" w:rsidR="00DD089F" w:rsidRPr="009034E2" w:rsidRDefault="00DD089F" w:rsidP="000A4928">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O vir-a-ser da subjetividade individual e coletiva revela um processo de criação contingente e indeterminado, no qual o fluxo constituinte e interminável subleva a essência estável vinculada às formas de dominação autoritárias. Igualmente, o acontecer da subjetividade se inicia com o indivíduo singular e se estende para a coletividade, terminando por abarcar o “ser”. O último devir da subjetividade em Saul Newman é a ontologia anarquista.</w:t>
      </w:r>
    </w:p>
    <w:p w14:paraId="71166BB3" w14:textId="77777777" w:rsidR="00DD089F" w:rsidRPr="009034E2" w:rsidRDefault="00DD089F" w:rsidP="000A4928">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 xml:space="preserve">A partir do </w:t>
      </w:r>
      <w:r w:rsidRPr="009034E2">
        <w:rPr>
          <w:rFonts w:ascii="Times New Roman" w:eastAsia="Aptos" w:hAnsi="Times New Roman" w:cs="Times New Roman"/>
          <w:color w:val="000000" w:themeColor="text1"/>
          <w:sz w:val="24"/>
          <w:szCs w:val="24"/>
          <w:lang w:val="en-US"/>
        </w:rPr>
        <w:t>artigo “As políticas do pós-anarquismo” (2006), Saul Newman passa a utilizar a expresão “ontologia” para se referir à dinâmica dos processos de subjetivação. A subjetividade essencialista é compreendida como “garantias ontológicas do discurso humanista”, em contraposição ao pós-anarquismo cuja “ontologia é constitutivamente aberta à outra, e assume um horizonte radical vazio e indeterminado, que pode incluir um pluralidade de diferentes lutas políticas e identidades” (NEWMAN, 2006:46).</w:t>
      </w:r>
    </w:p>
    <w:p w14:paraId="042EA75F" w14:textId="7552F91E" w:rsidR="00DD089F" w:rsidRPr="009034E2" w:rsidRDefault="00DD089F" w:rsidP="000A4928">
      <w:pPr>
        <w:pStyle w:val="SemEspaamento"/>
        <w:spacing w:line="360" w:lineRule="auto"/>
        <w:ind w:firstLine="851"/>
        <w:jc w:val="both"/>
        <w:rPr>
          <w:rFonts w:ascii="Times New Roman" w:hAnsi="Times New Roman" w:cs="Times New Roman"/>
          <w:sz w:val="24"/>
          <w:szCs w:val="24"/>
          <w:lang w:val="pt"/>
        </w:rPr>
      </w:pPr>
      <w:r w:rsidRPr="009034E2">
        <w:rPr>
          <w:rFonts w:ascii="Times New Roman" w:eastAsia="Aptos" w:hAnsi="Times New Roman" w:cs="Times New Roman"/>
          <w:color w:val="000000" w:themeColor="text1"/>
          <w:sz w:val="24"/>
          <w:szCs w:val="24"/>
        </w:rPr>
        <w:t>Nos textos subsequentes, a “ontologia” irá ocupar uma posição cada vez mais importante para a reflexão sobre as subjetividades individual e coletiva. Saul Newman (2010</w:t>
      </w:r>
      <w:r w:rsidR="000A4928" w:rsidRPr="009034E2">
        <w:rPr>
          <w:rFonts w:ascii="Times New Roman" w:eastAsia="Aptos" w:hAnsi="Times New Roman" w:cs="Times New Roman"/>
          <w:color w:val="000000" w:themeColor="text1"/>
          <w:sz w:val="24"/>
          <w:szCs w:val="24"/>
        </w:rPr>
        <w:t>;</w:t>
      </w:r>
      <w:r w:rsidRPr="009034E2">
        <w:rPr>
          <w:rFonts w:ascii="Times New Roman" w:eastAsia="Aptos" w:hAnsi="Times New Roman" w:cs="Times New Roman"/>
          <w:color w:val="000000" w:themeColor="text1"/>
          <w:sz w:val="24"/>
          <w:szCs w:val="24"/>
        </w:rPr>
        <w:t xml:space="preserve">51) declara que “toma emprestado” de Hakim Bey o conceito de “anarquia ontológica”. De forma breve, inspirado igualmente em Max Stirner, o anarquista estadunidense assenta sua ontologia no “nada” ou “caos”, como vazio ou indeterminação que convoca a subjetividade a autocriação </w:t>
      </w:r>
      <w:r w:rsidRPr="009034E2">
        <w:rPr>
          <w:rFonts w:ascii="Times New Roman" w:hAnsi="Times New Roman" w:cs="Times New Roman"/>
          <w:sz w:val="24"/>
          <w:szCs w:val="24"/>
          <w:lang w:val="pt"/>
        </w:rPr>
        <w:t xml:space="preserve">(BEY, 1994:01). </w:t>
      </w:r>
    </w:p>
    <w:p w14:paraId="0CD79CF0" w14:textId="34034980" w:rsidR="00DD089F" w:rsidRPr="009034E2" w:rsidRDefault="00DD089F" w:rsidP="000A4928">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hAnsi="Times New Roman" w:cs="Times New Roman"/>
          <w:sz w:val="24"/>
          <w:szCs w:val="24"/>
          <w:lang w:val="pt"/>
        </w:rPr>
        <w:t xml:space="preserve">O nada, o vazio ou a ausência de fundamentos é a característica “anárquica” dessa ontologia. É principalmente o filósofo heideggeriano </w:t>
      </w:r>
      <w:r w:rsidRPr="009034E2">
        <w:rPr>
          <w:rFonts w:ascii="Times New Roman" w:eastAsia="Aptos" w:hAnsi="Times New Roman" w:cs="Times New Roman"/>
          <w:color w:val="000000" w:themeColor="text1"/>
          <w:sz w:val="24"/>
          <w:szCs w:val="24"/>
          <w:lang w:val="en-US"/>
        </w:rPr>
        <w:t>Reiner Schürmann (1987; 2019</w:t>
      </w:r>
      <w:r w:rsidR="000A4928" w:rsidRPr="009034E2">
        <w:rPr>
          <w:rFonts w:ascii="Times New Roman" w:eastAsia="Aptos" w:hAnsi="Times New Roman" w:cs="Times New Roman"/>
          <w:color w:val="000000" w:themeColor="text1"/>
          <w:sz w:val="24"/>
          <w:szCs w:val="24"/>
          <w:lang w:val="en-US"/>
        </w:rPr>
        <w:t>) que</w:t>
      </w:r>
      <w:r w:rsidRPr="009034E2">
        <w:rPr>
          <w:rFonts w:ascii="Times New Roman" w:eastAsia="Aptos" w:hAnsi="Times New Roman" w:cs="Times New Roman"/>
          <w:color w:val="000000" w:themeColor="text1"/>
          <w:sz w:val="24"/>
          <w:szCs w:val="24"/>
          <w:lang w:val="en-US"/>
        </w:rPr>
        <w:t xml:space="preserve"> formula a ontologia anarquista reproduzida por Saul Newman (2010, 2017, 2019b, 2021).</w:t>
      </w:r>
    </w:p>
    <w:p w14:paraId="46AC6A38" w14:textId="77777777" w:rsidR="00DD089F" w:rsidRPr="009034E2" w:rsidRDefault="00DD089F" w:rsidP="000A4928">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O ponto de partida de Reiner Schürmann é o conceito grego de “arché” utilizado para designar a origem, o princípio ou o fundamento do ser. Em um trocadilho na língua inglesa, o termo anarquia pode ser desmembrado em “an-archy” (sem-princípio), ressaltando o prefixo “an” como ausência de fundamento: “</w:t>
      </w:r>
      <w:r w:rsidRPr="009034E2">
        <w:rPr>
          <w:rFonts w:ascii="Times New Roman" w:eastAsia="Aptos" w:hAnsi="Times New Roman" w:cs="Times New Roman"/>
          <w:color w:val="000000" w:themeColor="text1"/>
          <w:sz w:val="24"/>
          <w:szCs w:val="24"/>
          <w:lang w:val="en-US"/>
        </w:rPr>
        <w:t xml:space="preserve">Se </w:t>
      </w:r>
      <w:r w:rsidRPr="009034E2">
        <w:rPr>
          <w:rFonts w:ascii="Times New Roman" w:eastAsia="Aptos" w:hAnsi="Times New Roman" w:cs="Times New Roman"/>
          <w:i/>
          <w:iCs/>
          <w:color w:val="000000" w:themeColor="text1"/>
          <w:sz w:val="24"/>
          <w:szCs w:val="24"/>
          <w:lang w:val="en-US"/>
        </w:rPr>
        <w:t>arché</w:t>
      </w:r>
      <w:r w:rsidRPr="009034E2">
        <w:rPr>
          <w:rFonts w:ascii="Times New Roman" w:eastAsia="Aptos" w:hAnsi="Times New Roman" w:cs="Times New Roman"/>
          <w:color w:val="000000" w:themeColor="text1"/>
          <w:sz w:val="24"/>
          <w:szCs w:val="24"/>
          <w:lang w:val="en-US"/>
        </w:rPr>
        <w:t xml:space="preserve"> pode ser vista como uma regra geral ou princípio orientador (algo como a primeira verdade, ou princípio racional), então a anarquia pode ser definida como a ausência desta regra” </w:t>
      </w:r>
      <w:r w:rsidRPr="009034E2">
        <w:rPr>
          <w:rFonts w:ascii="Times New Roman" w:eastAsia="Aptos" w:hAnsi="Times New Roman" w:cs="Times New Roman"/>
          <w:color w:val="000000" w:themeColor="text1"/>
          <w:sz w:val="24"/>
          <w:szCs w:val="24"/>
        </w:rPr>
        <w:t>(NEWMAN, 2010:51). Trata-se daquilo que Schürmann (1987) nomeia como o “princípio ontológico da anarquia”, relacionada ao desaparecimento ou afrouxamento de uma determinação ontológica fixa.</w:t>
      </w:r>
    </w:p>
    <w:p w14:paraId="5F73C7AD" w14:textId="77777777" w:rsidR="00DD089F" w:rsidRPr="009034E2" w:rsidRDefault="00DD089F" w:rsidP="000A4928">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 xml:space="preserve">A “an-archy”, portanto, não se refere ao pensamento anarquista, ao movimento libertário ou à subjetividade individual e coletiva, mas uma característica que define o “ser” - o que corresponde, em filosofia, à ontologia. Contudo, se, tradicionalmente, a ontologia assenta os fundamentos do “ser”, a an-arquia é a uma anti-ontologia – marcada exatamente pela ausência de princípio ou fundamento. Nas palavras de Saul Newman: “Anarquia é, portanto, a desfundamentação ou a remoção da autoridade absoluta da </w:t>
      </w:r>
      <w:r w:rsidRPr="009034E2">
        <w:rPr>
          <w:rFonts w:ascii="Times New Roman" w:eastAsia="Aptos" w:hAnsi="Times New Roman" w:cs="Times New Roman"/>
          <w:i/>
          <w:iCs/>
          <w:color w:val="000000" w:themeColor="text1"/>
          <w:sz w:val="24"/>
          <w:szCs w:val="24"/>
        </w:rPr>
        <w:t>arché</w:t>
      </w:r>
      <w:r w:rsidRPr="009034E2">
        <w:rPr>
          <w:rFonts w:ascii="Times New Roman" w:eastAsia="Aptos" w:hAnsi="Times New Roman" w:cs="Times New Roman"/>
          <w:color w:val="000000" w:themeColor="text1"/>
          <w:sz w:val="24"/>
          <w:szCs w:val="24"/>
        </w:rPr>
        <w:t xml:space="preserve"> – uma forma de antiautoritarismo ontológico” (NEWMAN, 2017:12).</w:t>
      </w:r>
    </w:p>
    <w:p w14:paraId="77C00FCF" w14:textId="77777777" w:rsidR="00DD089F" w:rsidRPr="009034E2" w:rsidRDefault="00DD089F" w:rsidP="000A4928">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rPr>
        <w:t>Obviamente a feição antiautoritária da ontologia an-arquista está relacionada à “experiência de liberdade” derivada da ausência de regras ou princípios normativos que buscam aprisionar o fluxo e uniformizar a multiplicidade de vivência do ser sem fundamento: “a</w:t>
      </w:r>
      <w:r w:rsidRPr="009034E2">
        <w:rPr>
          <w:rFonts w:ascii="Times New Roman" w:eastAsia="Aptos" w:hAnsi="Times New Roman" w:cs="Times New Roman"/>
          <w:color w:val="000000" w:themeColor="text1"/>
          <w:sz w:val="24"/>
          <w:szCs w:val="24"/>
          <w:lang w:val="en-US"/>
        </w:rPr>
        <w:t xml:space="preserve"> ação torna-se ‘anárquica’, isto é, sem fundamento e sem um fim pré-determinado" (NEWMAN, 2021:15). O “ser” liberta-se, igualmente, de um destino fatalista ou “vocação” natural, expressões subjascentes ao determinismo inescapável da superação dialética que predominou nas subjetividades revolucionárias modernas.</w:t>
      </w:r>
    </w:p>
    <w:p w14:paraId="1E2B81D8" w14:textId="23712133" w:rsidR="00DD089F" w:rsidRPr="009034E2" w:rsidRDefault="00DD089F" w:rsidP="000A4928">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Se a ausência de “arché” implica a falta de “princípio”, a ausência de “telos” destaca o fim do “propósito” (razão de ser, finalidade última). Do ponto de vista da subjetividade individual ou coletiva, destrói-se um fundamento pregresso e um fatalismo do porvir: “</w:t>
      </w:r>
      <w:r w:rsidRPr="009034E2">
        <w:rPr>
          <w:rFonts w:ascii="Times New Roman" w:eastAsia="Aptos" w:hAnsi="Times New Roman" w:cs="Times New Roman"/>
          <w:color w:val="000000" w:themeColor="text1"/>
          <w:sz w:val="24"/>
          <w:szCs w:val="24"/>
          <w:lang w:val="en-US"/>
        </w:rPr>
        <w:t>O sujeito é anárquico num sentido ontológico — isto é, sem uma base estável, um conjunto predeterminado de interesses ou um telos racional. O eu [</w:t>
      </w:r>
      <w:r w:rsidRPr="009034E2">
        <w:rPr>
          <w:rFonts w:ascii="Times New Roman" w:eastAsia="Aptos" w:hAnsi="Times New Roman" w:cs="Times New Roman"/>
          <w:color w:val="000000" w:themeColor="text1"/>
          <w:sz w:val="24"/>
          <w:szCs w:val="24"/>
          <w:lang w:val="fr-FR"/>
        </w:rPr>
        <w:t>self</w:t>
      </w:r>
      <w:r w:rsidRPr="009034E2">
        <w:rPr>
          <w:rFonts w:ascii="Times New Roman" w:eastAsia="Aptos" w:hAnsi="Times New Roman" w:cs="Times New Roman"/>
          <w:color w:val="000000" w:themeColor="text1"/>
          <w:sz w:val="24"/>
          <w:szCs w:val="24"/>
          <w:u w:val="single"/>
          <w:lang w:val="en-US"/>
        </w:rPr>
        <w:t xml:space="preserve">] </w:t>
      </w:r>
      <w:r w:rsidRPr="009034E2">
        <w:rPr>
          <w:rFonts w:ascii="Times New Roman" w:eastAsia="Aptos" w:hAnsi="Times New Roman" w:cs="Times New Roman"/>
          <w:color w:val="000000" w:themeColor="text1"/>
          <w:sz w:val="24"/>
          <w:szCs w:val="24"/>
          <w:lang w:val="en-US"/>
        </w:rPr>
        <w:t>recusa qualquer tipo de ‘vocação’ — seja a da liberdade, da moralidade, da racionalidade, ou mesmo o reconhecimento do seu próprio ‘eu interior’”</w:t>
      </w:r>
      <w:r w:rsidR="00450914">
        <w:rPr>
          <w:rFonts w:ascii="Times New Roman" w:eastAsia="Aptos" w:hAnsi="Times New Roman" w:cs="Times New Roman"/>
          <w:color w:val="000000" w:themeColor="text1"/>
          <w:sz w:val="24"/>
          <w:szCs w:val="24"/>
          <w:lang w:val="en-US"/>
        </w:rPr>
        <w:t xml:space="preserve"> </w:t>
      </w:r>
      <w:r w:rsidRPr="009034E2">
        <w:rPr>
          <w:rFonts w:ascii="Times New Roman" w:eastAsia="Aptos" w:hAnsi="Times New Roman" w:cs="Times New Roman"/>
          <w:color w:val="000000" w:themeColor="text1"/>
          <w:sz w:val="24"/>
          <w:szCs w:val="24"/>
          <w:lang w:val="en-US"/>
        </w:rPr>
        <w:t>(NEWMAN, 2022:02).</w:t>
      </w:r>
    </w:p>
    <w:p w14:paraId="062108E0" w14:textId="77777777" w:rsidR="00DD089F" w:rsidRPr="009034E2" w:rsidRDefault="00DD089F" w:rsidP="000A4928">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Com o predomínio de um pensamento ontológico no pós-anarquismo de Saul Newman, as subjetividades individuais e coletivas são reformuladas, mais em termos discursivos e conceituais do que em termos explicativos. Ou seja, os modos de subjetivação permanecem compreendidos de maneira semelhante, mas agora são designados como “</w:t>
      </w:r>
      <w:r w:rsidRPr="009034E2">
        <w:rPr>
          <w:rFonts w:ascii="Times New Roman" w:eastAsia="Aptos" w:hAnsi="Times New Roman" w:cs="Times New Roman"/>
          <w:color w:val="000000" w:themeColor="text1"/>
          <w:sz w:val="24"/>
          <w:szCs w:val="24"/>
          <w:lang w:val="en-US"/>
        </w:rPr>
        <w:t>subjetividade ontologicamente anárquica” (NEWMAN, 2017:19).</w:t>
      </w:r>
    </w:p>
    <w:p w14:paraId="3C5E1ED7" w14:textId="77777777" w:rsidR="00DD089F" w:rsidRPr="009034E2" w:rsidRDefault="00DD089F" w:rsidP="000A4928">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Por exemplo, a subjetividade radical é designada como “</w:t>
      </w:r>
      <w:r w:rsidRPr="009034E2">
        <w:rPr>
          <w:rFonts w:ascii="Times New Roman" w:eastAsia="Aptos" w:hAnsi="Times New Roman" w:cs="Times New Roman"/>
          <w:color w:val="000000" w:themeColor="text1"/>
          <w:sz w:val="24"/>
          <w:szCs w:val="24"/>
          <w:lang w:val="en-US"/>
        </w:rPr>
        <w:t>uma compreensão insurrecional ou ontologicamente anárquica do sujeito”, mantendo suas características de ser “uma forma de subjetividade que não se baseia em nenhuma essência ou categoria ontológica firme, e que não é redutível a nenhum tipo de identidade fixa...” (NEWMAN, 2017:18).</w:t>
      </w:r>
    </w:p>
    <w:p w14:paraId="01D1F10E" w14:textId="77777777" w:rsidR="00DD089F" w:rsidRPr="009034E2" w:rsidRDefault="00DD089F" w:rsidP="000A4928">
      <w:pPr>
        <w:pStyle w:val="SemEspaamento"/>
        <w:spacing w:line="360" w:lineRule="auto"/>
        <w:ind w:firstLine="851"/>
        <w:jc w:val="both"/>
        <w:rPr>
          <w:rFonts w:ascii="Times New Roman" w:hAnsi="Times New Roman" w:cs="Times New Roman"/>
          <w:sz w:val="24"/>
          <w:szCs w:val="24"/>
        </w:rPr>
      </w:pPr>
      <w:r w:rsidRPr="009034E2">
        <w:rPr>
          <w:rFonts w:ascii="Times New Roman" w:eastAsia="Aptos" w:hAnsi="Times New Roman" w:cs="Times New Roman"/>
          <w:color w:val="000000" w:themeColor="text1"/>
          <w:sz w:val="24"/>
          <w:szCs w:val="24"/>
        </w:rPr>
        <w:t xml:space="preserve">No âmbito da ontologia an-arquista, Saul Newman enfatiza a noção de uma “liberdade ontológica” derivada exatamente da ausência de fundamentos fixos, ausência esta que convida a subjetividade a autocriação (NEWMAN, 2019:155). </w:t>
      </w:r>
      <w:r w:rsidRPr="009034E2">
        <w:rPr>
          <w:rFonts w:ascii="Times New Roman" w:hAnsi="Times New Roman" w:cs="Times New Roman"/>
          <w:sz w:val="24"/>
          <w:szCs w:val="24"/>
        </w:rPr>
        <w:t>Mantêm-se, em suma, a forma de compreensão da subjetividade, mas agora repaginada com a perspectiva ontológica.</w:t>
      </w:r>
    </w:p>
    <w:p w14:paraId="4923F995" w14:textId="77777777" w:rsidR="00FD4537" w:rsidRPr="009034E2" w:rsidRDefault="00FD4537" w:rsidP="000A4928">
      <w:pPr>
        <w:pStyle w:val="SemEspaamento"/>
        <w:spacing w:line="360" w:lineRule="auto"/>
        <w:ind w:firstLine="851"/>
        <w:jc w:val="both"/>
        <w:rPr>
          <w:rFonts w:ascii="Times New Roman" w:hAnsi="Times New Roman" w:cs="Times New Roman"/>
          <w:sz w:val="24"/>
          <w:szCs w:val="24"/>
        </w:rPr>
      </w:pPr>
    </w:p>
    <w:p w14:paraId="6E0567AC" w14:textId="0D7FE531" w:rsidR="00DD089F" w:rsidRPr="009034E2" w:rsidRDefault="005E5E1B" w:rsidP="00DD089F">
      <w:pPr>
        <w:pStyle w:val="SemEspaamento"/>
        <w:spacing w:line="360" w:lineRule="auto"/>
        <w:jc w:val="both"/>
        <w:rPr>
          <w:rFonts w:ascii="Times New Roman" w:hAnsi="Times New Roman" w:cs="Times New Roman"/>
          <w:b/>
          <w:bCs/>
          <w:sz w:val="24"/>
          <w:szCs w:val="24"/>
        </w:rPr>
      </w:pPr>
      <w:r w:rsidRPr="009034E2">
        <w:rPr>
          <w:rFonts w:ascii="Times New Roman" w:hAnsi="Times New Roman" w:cs="Times New Roman"/>
          <w:b/>
          <w:bCs/>
          <w:sz w:val="24"/>
          <w:szCs w:val="24"/>
        </w:rPr>
        <w:t>6</w:t>
      </w:r>
      <w:r w:rsidR="00DD089F" w:rsidRPr="009034E2">
        <w:rPr>
          <w:rFonts w:ascii="Times New Roman" w:hAnsi="Times New Roman" w:cs="Times New Roman"/>
          <w:b/>
          <w:bCs/>
          <w:sz w:val="24"/>
          <w:szCs w:val="24"/>
        </w:rPr>
        <w:t xml:space="preserve">. CRÍTICAS À SUBJETIVIDADE EM SAUL NEWMAN </w:t>
      </w:r>
    </w:p>
    <w:p w14:paraId="60672B9E" w14:textId="77777777" w:rsidR="00DD089F" w:rsidRPr="009034E2" w:rsidRDefault="00DD089F" w:rsidP="00DD089F">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 xml:space="preserve">Há três críticas mais evidentes à noção de subjetividade formulada por Saul Newman: o subjetivismo; a moralização e racionalização da subjetividade; e o essencialismo ontológico. </w:t>
      </w:r>
    </w:p>
    <w:p w14:paraId="7101293B" w14:textId="77777777" w:rsidR="00DD089F" w:rsidRPr="009034E2" w:rsidRDefault="00DD089F" w:rsidP="00DD089F">
      <w:pPr>
        <w:pStyle w:val="SemEspaamento"/>
        <w:spacing w:line="360" w:lineRule="auto"/>
        <w:ind w:firstLine="709"/>
        <w:jc w:val="both"/>
        <w:rPr>
          <w:rFonts w:ascii="Times New Roman" w:hAnsi="Times New Roman" w:cs="Times New Roman"/>
          <w:sz w:val="24"/>
          <w:szCs w:val="24"/>
        </w:rPr>
      </w:pPr>
    </w:p>
    <w:p w14:paraId="5497BEA8" w14:textId="495B1A09" w:rsidR="00DD089F" w:rsidRPr="009034E2" w:rsidRDefault="005E5E1B" w:rsidP="00DD089F">
      <w:pPr>
        <w:pStyle w:val="SemEspaamento"/>
        <w:spacing w:line="360" w:lineRule="auto"/>
        <w:rPr>
          <w:rFonts w:ascii="Times New Roman" w:hAnsi="Times New Roman" w:cs="Times New Roman"/>
          <w:b/>
          <w:bCs/>
          <w:sz w:val="24"/>
          <w:szCs w:val="24"/>
        </w:rPr>
      </w:pPr>
      <w:r w:rsidRPr="009034E2">
        <w:rPr>
          <w:rFonts w:ascii="Times New Roman" w:hAnsi="Times New Roman" w:cs="Times New Roman"/>
          <w:b/>
          <w:bCs/>
          <w:sz w:val="24"/>
          <w:szCs w:val="24"/>
        </w:rPr>
        <w:t>6</w:t>
      </w:r>
      <w:r w:rsidR="00DD089F" w:rsidRPr="009034E2">
        <w:rPr>
          <w:rFonts w:ascii="Times New Roman" w:hAnsi="Times New Roman" w:cs="Times New Roman"/>
          <w:b/>
          <w:bCs/>
          <w:sz w:val="24"/>
          <w:szCs w:val="24"/>
        </w:rPr>
        <w:t>.1. SUBJETIVISMO</w:t>
      </w:r>
    </w:p>
    <w:p w14:paraId="5C7A278B"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hAnsi="Times New Roman" w:cs="Times New Roman"/>
          <w:sz w:val="24"/>
          <w:szCs w:val="24"/>
        </w:rPr>
        <w:t xml:space="preserve">De acordo com o cientista político britânico </w:t>
      </w:r>
      <w:r w:rsidRPr="009034E2">
        <w:rPr>
          <w:rFonts w:ascii="Times New Roman" w:eastAsia="Aptos" w:hAnsi="Times New Roman" w:cs="Times New Roman"/>
          <w:color w:val="000000" w:themeColor="text1"/>
          <w:sz w:val="24"/>
          <w:szCs w:val="24"/>
          <w:lang w:val="en-US"/>
        </w:rPr>
        <w:t xml:space="preserve">Benjamin Franks, “o pós-anarquismo leva a um subjetivismo radical – um relativismo moral em que o indivíduo, de forma solipsista, determina suas próprias coordenadas morais – tornando-o, assim, inadequado para o desenvolvimento de relações éticas e políticas com os outros” (NEWMAN, 2010:158). Max Stirner seria a fonte desse “supremo individualismo e amoralismo do egoísta autocriador” (NEWMAN, 2010:158). </w:t>
      </w:r>
      <w:r w:rsidRPr="009034E2">
        <w:rPr>
          <w:rFonts w:ascii="Times New Roman" w:eastAsia="Aptos" w:hAnsi="Times New Roman" w:cs="Times New Roman"/>
          <w:color w:val="000000" w:themeColor="text1"/>
          <w:sz w:val="24"/>
          <w:szCs w:val="24"/>
        </w:rPr>
        <w:t>Caleb Smith, pesquisador do confinamento solitário como forma de controle das subjetividades, aventa a possibilidade de o individualismo pós-anarquista ser uma técnica sofisticada de encarceramento e punição (NEWMAN, 2004:03).</w:t>
      </w:r>
    </w:p>
    <w:p w14:paraId="554BEAA4"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 xml:space="preserve">Tais críticas remetem aos limites de uma insurreição individual para enfrentar questões políticas coletivas.  </w:t>
      </w:r>
    </w:p>
    <w:p w14:paraId="5C758C0A"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rPr>
        <w:t>Para Saul Newman, primeiramente se deve desfazer um equívoco corriqueiro: associar a subjetividade pós-anarquista à “</w:t>
      </w:r>
      <w:r w:rsidRPr="009034E2">
        <w:rPr>
          <w:rFonts w:ascii="Times New Roman" w:eastAsia="Aptos" w:hAnsi="Times New Roman" w:cs="Times New Roman"/>
          <w:color w:val="000000" w:themeColor="text1"/>
          <w:sz w:val="24"/>
          <w:szCs w:val="24"/>
          <w:lang w:val="en-US"/>
        </w:rPr>
        <w:t>subjetividade do indivíduo liberal burguês”, para o qual a crítica de individualismo solipsista é pertinente (NEWMAN, 2010:159). Em outras palavras, a subjetividade individual pautada na destruição dos ideais essencialistas e na reivenção de si é antípoda do modo de subjetivação (neo)liberal afogado na moralidade e na racionalidade do Estado e do mercado. Ao indivíduo neoliberal cabe perfeitamente a análise do “confinamento” e da “solidão” como forma de dominação - bem como o monopólio da subjetividade corpórea pelas tecnologias digitais de comunicação do mundo.com (o universo absoluto do comércio e do mercado capitalista). Igualmente, o modo de subjetivação neoliberal aposta na autonomia individualista como forma de controle das singularidades e prevenção de levantes coletivos.</w:t>
      </w:r>
    </w:p>
    <w:p w14:paraId="248A3C24"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Contudo, argumenta Saul Newman, é exatamente a sublevação da subjetividade (neo)liberal que motiva a criação de uma nova forma de individualidade anárquica pautada na criação autodeterminada de si (NEWMAN, 2004). Dizer que a insurreição se inicia na subjetividade, destruindo as autoridades interiorizadas, não significa negar as lutas sociais – presentes, como vimos, na noção de subjetividade coletiva radical. Não há reducionismo do processo revolucionário à subjetividade individual, mas a consideração de que a insurreição interior é parte seminal da transformação coletiva: “</w:t>
      </w:r>
      <w:r w:rsidRPr="009034E2">
        <w:rPr>
          <w:rFonts w:ascii="Times New Roman" w:eastAsia="Aptos" w:hAnsi="Times New Roman" w:cs="Times New Roman"/>
          <w:color w:val="000000" w:themeColor="text1"/>
          <w:sz w:val="24"/>
          <w:szCs w:val="24"/>
          <w:lang w:val="en-US"/>
        </w:rPr>
        <w:t xml:space="preserve">nesse sentido, talvez possamos ver a insurreição e a revolução como dois lados da mesma moeda” (NEWMAN, 2019:87). </w:t>
      </w:r>
      <w:r w:rsidRPr="009034E2">
        <w:rPr>
          <w:rFonts w:ascii="Times New Roman" w:eastAsia="Aptos" w:hAnsi="Times New Roman" w:cs="Times New Roman"/>
          <w:sz w:val="24"/>
          <w:szCs w:val="24"/>
        </w:rPr>
        <w:t xml:space="preserve"> </w:t>
      </w:r>
    </w:p>
    <w:p w14:paraId="6632091E" w14:textId="77777777" w:rsidR="00DD089F" w:rsidRPr="009034E2" w:rsidRDefault="00DD089F" w:rsidP="001F6577">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 xml:space="preserve">Basta lembrar, a título de complementação, que a experiência subjetiva em Max Stirner não rejeita as potencialidades das relações entre as pessoas ou o pertencimento a grupos políticos. Sua crítica é quando tais instituições se sobrepõem aos interesses individuais e submetem as subjetividades a servir a uma causa externa – como é o caso, por exemplo, dos partidos comunistas e associações religiosas. Max Stirner afirma, por exemplo, a “união de egoístas” como forma de “reforçar o </w:t>
      </w:r>
      <w:r w:rsidRPr="009034E2">
        <w:rPr>
          <w:rFonts w:ascii="Times New Roman" w:hAnsi="Times New Roman" w:cs="Times New Roman"/>
          <w:i/>
          <w:iCs/>
          <w:sz w:val="24"/>
          <w:szCs w:val="24"/>
        </w:rPr>
        <w:t xml:space="preserve">meu </w:t>
      </w:r>
      <w:r w:rsidRPr="009034E2">
        <w:rPr>
          <w:rFonts w:ascii="Times New Roman" w:hAnsi="Times New Roman" w:cs="Times New Roman"/>
          <w:sz w:val="24"/>
          <w:szCs w:val="24"/>
        </w:rPr>
        <w:t>poder com esta união e, juntando forças, fazer mais do que faria isoladamente”. Concluindo: “Nesta união não vejo mais do que uma multiplicação da minha força, e só a mantenho enquanto ela for a minha força multiplicada” (STIRNER, 1844/2004:245 – grifo do autor).</w:t>
      </w:r>
    </w:p>
    <w:p w14:paraId="2894AE26"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 xml:space="preserve">Entretanto, Saul Newman concorda com </w:t>
      </w:r>
      <w:r w:rsidRPr="009034E2">
        <w:rPr>
          <w:rFonts w:ascii="Times New Roman" w:eastAsia="Aptos" w:hAnsi="Times New Roman" w:cs="Times New Roman"/>
          <w:color w:val="000000" w:themeColor="text1"/>
          <w:sz w:val="24"/>
          <w:szCs w:val="24"/>
          <w:lang w:val="en-US"/>
        </w:rPr>
        <w:t>Benjamin Franks quando pondera a necessidade de enfatizar a ética coletiva, em detrimento de se limitar à subjetividade individual. Para tanto, lança mão da noção de “subjetivação ética”, relacionada à construção de relações que potencializam o cuidado com o outro, como aliado na desconstrução do autoritarismo que assombra a individualidade (NEWMAN, 2010:160).</w:t>
      </w:r>
    </w:p>
    <w:p w14:paraId="6AE9B102" w14:textId="77777777" w:rsidR="00DD089F" w:rsidRPr="009034E2" w:rsidRDefault="00DD089F" w:rsidP="001F6577">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Nesse sentido, valeria a pena dialogar com anarquistas individualistas que buscaram soluções coletivas de afirmação da singularidade do único, como, por exemplo, Émile Armand e sua camaradagem amorosa.</w:t>
      </w:r>
    </w:p>
    <w:p w14:paraId="22388553" w14:textId="77777777" w:rsidR="00DD089F" w:rsidRPr="009034E2" w:rsidRDefault="00DD089F" w:rsidP="001F6577">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Em suma, a “subjetividade ética” enfatiza o quanto a constituição de autodeterminação para reinvenção de si é potencializada por relações com pessoas com a mesma proposta insurreta.</w:t>
      </w:r>
    </w:p>
    <w:p w14:paraId="111F248D" w14:textId="77777777" w:rsidR="00FF7A34" w:rsidRPr="009034E2" w:rsidRDefault="00FF7A34" w:rsidP="00FF7A34">
      <w:pPr>
        <w:pStyle w:val="SemEspaamento"/>
        <w:rPr>
          <w:rFonts w:ascii="Times New Roman" w:hAnsi="Times New Roman" w:cs="Times New Roman"/>
          <w:b/>
          <w:bCs/>
          <w:sz w:val="24"/>
          <w:szCs w:val="24"/>
        </w:rPr>
      </w:pPr>
    </w:p>
    <w:p w14:paraId="06D85ED0" w14:textId="4DCF5A76" w:rsidR="00DD089F" w:rsidRPr="009034E2" w:rsidRDefault="005E5E1B" w:rsidP="001F6577">
      <w:pPr>
        <w:pStyle w:val="SemEspaamento"/>
        <w:spacing w:line="360" w:lineRule="auto"/>
        <w:rPr>
          <w:rFonts w:ascii="Times New Roman" w:hAnsi="Times New Roman" w:cs="Times New Roman"/>
          <w:b/>
          <w:bCs/>
          <w:sz w:val="24"/>
          <w:szCs w:val="24"/>
        </w:rPr>
      </w:pPr>
      <w:r w:rsidRPr="009034E2">
        <w:rPr>
          <w:rFonts w:ascii="Times New Roman" w:hAnsi="Times New Roman" w:cs="Times New Roman"/>
          <w:b/>
          <w:bCs/>
          <w:sz w:val="24"/>
          <w:szCs w:val="24"/>
        </w:rPr>
        <w:t>6</w:t>
      </w:r>
      <w:r w:rsidR="001F6577" w:rsidRPr="009034E2">
        <w:rPr>
          <w:rFonts w:ascii="Times New Roman" w:hAnsi="Times New Roman" w:cs="Times New Roman"/>
          <w:b/>
          <w:bCs/>
          <w:sz w:val="24"/>
          <w:szCs w:val="24"/>
        </w:rPr>
        <w:t>.2. SUBJETIVIDADE AUTODISCIPLINADA</w:t>
      </w:r>
    </w:p>
    <w:p w14:paraId="6155F519" w14:textId="77777777" w:rsidR="00FD4537" w:rsidRPr="009034E2" w:rsidRDefault="00FD4537" w:rsidP="00FD4537">
      <w:pPr>
        <w:pStyle w:val="SemEspaamento"/>
        <w:rPr>
          <w:rFonts w:ascii="Times New Roman" w:hAnsi="Times New Roman" w:cs="Times New Roman"/>
          <w:b/>
          <w:bCs/>
          <w:sz w:val="24"/>
          <w:szCs w:val="24"/>
        </w:rPr>
      </w:pPr>
    </w:p>
    <w:p w14:paraId="35BA05A3"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hAnsi="Times New Roman" w:cs="Times New Roman"/>
          <w:sz w:val="24"/>
          <w:szCs w:val="24"/>
        </w:rPr>
        <w:t>Mais preocupantes, são algumas passagens de Saul Newman em que ele reproduz a moralidade e racionalidade da subjetividade essencialista que combate com tanto vigor.</w:t>
      </w:r>
    </w:p>
    <w:p w14:paraId="3C772145"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hAnsi="Times New Roman" w:cs="Times New Roman"/>
          <w:sz w:val="24"/>
          <w:szCs w:val="24"/>
        </w:rPr>
        <w:t>No artigo intitulado “</w:t>
      </w:r>
      <w:r w:rsidRPr="009034E2">
        <w:rPr>
          <w:rFonts w:ascii="Times New Roman" w:eastAsia="Aptos" w:hAnsi="Times New Roman" w:cs="Times New Roman"/>
          <w:color w:val="000000" w:themeColor="text1"/>
          <w:sz w:val="24"/>
          <w:szCs w:val="24"/>
        </w:rPr>
        <w:t>A propriedade criou uma nova liberdade: o conceito alternativo de liberdade de Max Stirner”, Saul Newman (2019) adota uma perspectiva contraditória: pensar a “liberdade” a partir de Max Stirner, exatamente o filósofo conhecido pela grande crítica à liberdade como ídolo moderno, como ideal liberal de dominação das subjetividades.</w:t>
      </w:r>
    </w:p>
    <w:p w14:paraId="414432DA"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Saul Newman parte do conceito de “propriedade” em Max Stirner, entendido como forma de combater os ideais essenciais internalizados a partir de um “autodomínio [</w:t>
      </w:r>
      <w:r w:rsidRPr="009034E2">
        <w:rPr>
          <w:rFonts w:ascii="Times New Roman" w:eastAsia="Aptos" w:hAnsi="Times New Roman" w:cs="Times New Roman"/>
          <w:sz w:val="24"/>
          <w:szCs w:val="24"/>
        </w:rPr>
        <w:t>self-mastery]</w:t>
      </w:r>
      <w:r w:rsidRPr="009034E2">
        <w:rPr>
          <w:rFonts w:ascii="Times New Roman" w:eastAsia="Aptos" w:hAnsi="Times New Roman" w:cs="Times New Roman"/>
          <w:color w:val="000000" w:themeColor="text1"/>
          <w:sz w:val="24"/>
          <w:szCs w:val="24"/>
        </w:rPr>
        <w:t xml:space="preserve">” (NEWMAN, 2019:170). Trata-se de uma interpretação bastante questionável, pois Max Stirner fala do “eu-proprietário” como aquele que reconhece o que lhe é próprio (como a singularidade) e se apropria do processo criativo de sua individualidade.  </w:t>
      </w:r>
    </w:p>
    <w:p w14:paraId="705FA66A"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Para um anarquista, falar em “autodomínio” (dominação de si mesmo) é, no mínimo paradoxal, pois se luta por sublevar, exatamente, todas as formas de dominação e autoridade. Saul Newman vai além ao ansiar que a subjetividade mantenha “controle sobre si mesma e seus próprios desejos” ou “seja capaz de dominar seus instintos, paixões e desejos, mesmo seus desejos por objetos externos ou por poder sobre os outros” (NEWMAN, 2019:171).</w:t>
      </w:r>
    </w:p>
    <w:p w14:paraId="20802CD1"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Falar em controle das paixões em nome de Stirner, em cuja grande obra figura longo capítulo intitulado “</w:t>
      </w:r>
      <w:r w:rsidRPr="009034E2">
        <w:rPr>
          <w:rFonts w:ascii="Times New Roman" w:eastAsia="Aptos" w:hAnsi="Times New Roman" w:cs="Times New Roman"/>
          <w:sz w:val="24"/>
          <w:szCs w:val="24"/>
        </w:rPr>
        <w:t>O meu gozo pessoal</w:t>
      </w:r>
      <w:r w:rsidRPr="009034E2">
        <w:rPr>
          <w:rFonts w:ascii="Times New Roman" w:eastAsia="Aptos" w:hAnsi="Times New Roman" w:cs="Times New Roman"/>
          <w:color w:val="000000" w:themeColor="text1"/>
          <w:sz w:val="24"/>
          <w:szCs w:val="24"/>
        </w:rPr>
        <w:t xml:space="preserve">” (exatamente para caracterizar o “eu-proprietário”), não é apenas contraditório, mas contundentemente equivocado. Mas Saul Newman não se contenta e acrescenta: </w:t>
      </w:r>
    </w:p>
    <w:p w14:paraId="70440E96" w14:textId="77777777" w:rsidR="00DD089F" w:rsidRPr="009E3A67" w:rsidRDefault="00DD089F" w:rsidP="00DD089F">
      <w:pPr>
        <w:pStyle w:val="SemEspaamento"/>
        <w:ind w:left="2268"/>
        <w:jc w:val="both"/>
        <w:rPr>
          <w:rFonts w:ascii="Times New Roman" w:eastAsia="Aptos" w:hAnsi="Times New Roman" w:cs="Times New Roman"/>
          <w:color w:val="000000" w:themeColor="text1"/>
          <w:sz w:val="20"/>
          <w:szCs w:val="20"/>
        </w:rPr>
      </w:pPr>
    </w:p>
    <w:p w14:paraId="7DF08753" w14:textId="77777777" w:rsidR="00DD089F" w:rsidRPr="009E3A67" w:rsidRDefault="00DD089F" w:rsidP="00DD089F">
      <w:pPr>
        <w:pStyle w:val="SemEspaamento"/>
        <w:ind w:left="2268"/>
        <w:jc w:val="both"/>
        <w:rPr>
          <w:rFonts w:ascii="Times New Roman" w:eastAsia="Aptos" w:hAnsi="Times New Roman" w:cs="Times New Roman"/>
          <w:color w:val="000000" w:themeColor="text1"/>
          <w:sz w:val="20"/>
          <w:szCs w:val="20"/>
        </w:rPr>
      </w:pPr>
      <w:r w:rsidRPr="009E3A67">
        <w:rPr>
          <w:rFonts w:ascii="Times New Roman" w:eastAsia="Aptos" w:hAnsi="Times New Roman" w:cs="Times New Roman"/>
          <w:color w:val="000000" w:themeColor="text1"/>
          <w:sz w:val="20"/>
          <w:szCs w:val="20"/>
        </w:rPr>
        <w:t>A posse, portanto, parece implicar uma autodisciplina [</w:t>
      </w:r>
      <w:r w:rsidRPr="009E3A67">
        <w:rPr>
          <w:rFonts w:ascii="Times New Roman" w:eastAsia="Aptos" w:hAnsi="Times New Roman" w:cs="Times New Roman"/>
          <w:sz w:val="20"/>
          <w:szCs w:val="20"/>
        </w:rPr>
        <w:t>self-discipline]</w:t>
      </w:r>
      <w:r w:rsidRPr="009E3A67">
        <w:rPr>
          <w:rFonts w:ascii="Times New Roman" w:eastAsia="Aptos" w:hAnsi="Times New Roman" w:cs="Times New Roman"/>
          <w:color w:val="000000" w:themeColor="text1"/>
          <w:sz w:val="20"/>
          <w:szCs w:val="20"/>
        </w:rPr>
        <w:t>, de modo que alguém possa dominar os próprios desejos e apetites. De fato, a liberdade requer um certo tipo de disciplina, incluindo uma disciplina ética que se exerce sobre si mesmo, a fim de dominar e controlar os desejos [</w:t>
      </w:r>
      <w:r w:rsidRPr="009E3A67">
        <w:rPr>
          <w:rFonts w:ascii="Times New Roman" w:eastAsia="Aptos" w:hAnsi="Times New Roman" w:cs="Times New Roman"/>
          <w:sz w:val="20"/>
          <w:szCs w:val="20"/>
        </w:rPr>
        <w:t>order to master and control the desires]</w:t>
      </w:r>
      <w:r w:rsidRPr="009E3A67">
        <w:rPr>
          <w:rFonts w:ascii="Times New Roman" w:eastAsia="Aptos" w:hAnsi="Times New Roman" w:cs="Times New Roman"/>
          <w:color w:val="000000" w:themeColor="text1"/>
          <w:sz w:val="20"/>
          <w:szCs w:val="20"/>
        </w:rPr>
        <w:t>, tendências e dependências que, de outra forma, o levariam a ser suscetível ao poder dos outros (NEWMAN, 2019:171).</w:t>
      </w:r>
    </w:p>
    <w:p w14:paraId="0F847EA8" w14:textId="77777777" w:rsidR="00DD089F" w:rsidRPr="009E3A67" w:rsidRDefault="00DD089F" w:rsidP="00DD089F">
      <w:pPr>
        <w:pStyle w:val="SemEspaamento"/>
        <w:ind w:left="2268"/>
        <w:jc w:val="both"/>
        <w:rPr>
          <w:rFonts w:ascii="Times New Roman" w:eastAsia="Aptos" w:hAnsi="Times New Roman" w:cs="Times New Roman"/>
          <w:color w:val="000000" w:themeColor="text1"/>
          <w:sz w:val="20"/>
          <w:szCs w:val="20"/>
        </w:rPr>
      </w:pPr>
    </w:p>
    <w:p w14:paraId="68FB9E1D" w14:textId="77777777" w:rsidR="00DD089F" w:rsidRPr="009034E2" w:rsidRDefault="00DD089F" w:rsidP="00DD089F">
      <w:pPr>
        <w:pStyle w:val="SemEspaamento"/>
        <w:spacing w:line="360" w:lineRule="auto"/>
        <w:ind w:firstLine="709"/>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rPr>
        <w:t xml:space="preserve">Dominar, controlar e disciplinar a si mesma: essas são as insurreições da subjetividade “livre” de Saul Newman, nessa passagem. Alguma semelhança com a racionalidade e a moralidade da subjetividade essencialista tão combatida pelo pós-anarquista? Alguma semelhança com as instituições repressivas e normalizadoras, como o Estado, cujo propósito é exatamente dominar, disciplinar e controlar as subjetividades a partir da moral e da razão - como tantas vezes o próprio Saul Newman criticou? Poderíamos considerar a “autodisciplina” uma “vigilância moral internalizada” ou “o guardião da moralidade... instalado na consciência do indivíduo”, refutado por Saul Newman </w:t>
      </w:r>
      <w:r w:rsidRPr="009034E2">
        <w:rPr>
          <w:rFonts w:ascii="Times New Roman" w:eastAsia="Aptos" w:hAnsi="Times New Roman" w:cs="Times New Roman"/>
          <w:color w:val="000000" w:themeColor="text1"/>
          <w:sz w:val="24"/>
          <w:szCs w:val="24"/>
          <w:lang w:val="en-US"/>
        </w:rPr>
        <w:t>(2003a:06)?</w:t>
      </w:r>
    </w:p>
    <w:p w14:paraId="17EDA963"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lang w:val="en-US"/>
        </w:rPr>
      </w:pPr>
      <w:r w:rsidRPr="009034E2">
        <w:rPr>
          <w:rFonts w:ascii="Times New Roman" w:eastAsia="Aptos" w:hAnsi="Times New Roman" w:cs="Times New Roman"/>
          <w:color w:val="000000" w:themeColor="text1"/>
          <w:sz w:val="24"/>
          <w:szCs w:val="24"/>
        </w:rPr>
        <w:t>Esta recaída autoritária de Saul Newman pode ser criticada, ironicamente, a partir de sua própria proposta de “rebelião subjetiva” que propala a destruição do “</w:t>
      </w:r>
      <w:r w:rsidRPr="009034E2">
        <w:rPr>
          <w:rFonts w:ascii="Times New Roman" w:eastAsia="Aptos" w:hAnsi="Times New Roman" w:cs="Times New Roman"/>
          <w:color w:val="000000" w:themeColor="text1"/>
          <w:sz w:val="24"/>
          <w:szCs w:val="24"/>
          <w:lang w:val="en-US"/>
        </w:rPr>
        <w:t>estatismo internalizado” (NEWMAN, 2019:86). - como este déspota tirânico da subjetividade “auto-disciplinada” e “auto-dominada”.</w:t>
      </w:r>
    </w:p>
    <w:p w14:paraId="1387EF31" w14:textId="77777777" w:rsidR="00DD089F" w:rsidRPr="009034E2" w:rsidRDefault="00DD089F" w:rsidP="001F6577">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sz w:val="24"/>
          <w:szCs w:val="24"/>
        </w:rPr>
        <w:t>É incrível como o autor de “Anarchism and Psychoanalysis” (2017) pôde postular um ingênuo domínio sobre os desejos, no sujeito do inconsciente. É inacreditável como um leitor de Sigmund Freud e Jacques Lacan pôde se render ao “ideal do ego” como instância psíquica de controle autoritário, internalizada exatamente a partir da “castração” dos desejos individuais.</w:t>
      </w:r>
    </w:p>
    <w:p w14:paraId="60EFF56D" w14:textId="77777777" w:rsidR="00DD089F" w:rsidRPr="009034E2" w:rsidRDefault="00DD089F" w:rsidP="001F6577">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 xml:space="preserve">O infeliz artigo </w:t>
      </w:r>
      <w:r w:rsidRPr="009034E2">
        <w:rPr>
          <w:rFonts w:ascii="Times New Roman" w:hAnsi="Times New Roman" w:cs="Times New Roman"/>
          <w:sz w:val="24"/>
          <w:szCs w:val="24"/>
        </w:rPr>
        <w:t>“</w:t>
      </w:r>
      <w:r w:rsidRPr="009034E2">
        <w:rPr>
          <w:rFonts w:ascii="Times New Roman" w:eastAsia="Aptos" w:hAnsi="Times New Roman" w:cs="Times New Roman"/>
          <w:color w:val="000000" w:themeColor="text1"/>
          <w:sz w:val="24"/>
          <w:szCs w:val="24"/>
        </w:rPr>
        <w:t>‘Ownness created a new freedom” conclama, em tom essencialista, que a “liberdade é a nossa condição ontológica" (NEWMAN, 2019:172). Confinados a esta liberdade fatalista, adentramos nas armadilhas da ontologia.</w:t>
      </w:r>
    </w:p>
    <w:p w14:paraId="70A75380" w14:textId="77777777" w:rsidR="00DD089F" w:rsidRPr="009034E2" w:rsidRDefault="00DD089F" w:rsidP="00DD089F">
      <w:pPr>
        <w:pStyle w:val="SemEspaamento"/>
        <w:spacing w:line="360" w:lineRule="auto"/>
        <w:ind w:firstLine="709"/>
        <w:jc w:val="both"/>
        <w:rPr>
          <w:rFonts w:ascii="Times New Roman" w:eastAsia="Aptos" w:hAnsi="Times New Roman" w:cs="Times New Roman"/>
          <w:color w:val="000000" w:themeColor="text1"/>
          <w:sz w:val="24"/>
          <w:szCs w:val="24"/>
          <w:lang w:val="en-US"/>
        </w:rPr>
      </w:pPr>
    </w:p>
    <w:p w14:paraId="5E3B4DD5" w14:textId="511C3E83" w:rsidR="00DD089F" w:rsidRPr="009034E2" w:rsidRDefault="005E5E1B" w:rsidP="001F6577">
      <w:pPr>
        <w:pStyle w:val="SemEspaamento"/>
        <w:spacing w:line="360" w:lineRule="auto"/>
        <w:jc w:val="both"/>
        <w:rPr>
          <w:rFonts w:ascii="Times New Roman" w:hAnsi="Times New Roman" w:cs="Times New Roman"/>
          <w:b/>
          <w:bCs/>
          <w:sz w:val="24"/>
          <w:szCs w:val="24"/>
        </w:rPr>
      </w:pPr>
      <w:r w:rsidRPr="009034E2">
        <w:rPr>
          <w:rFonts w:ascii="Times New Roman" w:hAnsi="Times New Roman" w:cs="Times New Roman"/>
          <w:b/>
          <w:bCs/>
          <w:sz w:val="24"/>
          <w:szCs w:val="24"/>
        </w:rPr>
        <w:t>6</w:t>
      </w:r>
      <w:r w:rsidR="001F6577" w:rsidRPr="009034E2">
        <w:rPr>
          <w:rFonts w:ascii="Times New Roman" w:hAnsi="Times New Roman" w:cs="Times New Roman"/>
          <w:b/>
          <w:bCs/>
          <w:sz w:val="24"/>
          <w:szCs w:val="24"/>
        </w:rPr>
        <w:t>.3. ARMADILHAS DA ONTOLOGIA</w:t>
      </w:r>
    </w:p>
    <w:p w14:paraId="13095156" w14:textId="77777777" w:rsidR="00FD4537" w:rsidRPr="009034E2" w:rsidRDefault="00FD4537" w:rsidP="00FD4537">
      <w:pPr>
        <w:pStyle w:val="SemEspaamento"/>
        <w:jc w:val="both"/>
        <w:rPr>
          <w:rFonts w:ascii="Times New Roman" w:hAnsi="Times New Roman" w:cs="Times New Roman"/>
          <w:b/>
          <w:bCs/>
          <w:sz w:val="24"/>
          <w:szCs w:val="24"/>
        </w:rPr>
      </w:pPr>
    </w:p>
    <w:p w14:paraId="2425D9CB" w14:textId="77777777" w:rsidR="00DD089F" w:rsidRPr="009034E2" w:rsidRDefault="00DD089F" w:rsidP="001F6577">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Acompanhemos algumas formulações atinentes à ontologia anarquista de Saul Newman. Em “As políticas do pós-anarquismo”, o autor afirma que a anarquia não é “</w:t>
      </w:r>
      <w:r w:rsidRPr="009034E2">
        <w:rPr>
          <w:rFonts w:ascii="Times New Roman" w:hAnsi="Times New Roman" w:cs="Times New Roman"/>
          <w:sz w:val="24"/>
          <w:szCs w:val="24"/>
          <w:lang w:val="en-US"/>
        </w:rPr>
        <w:t>um princípio político em si – mas sim um princípio ontológico [ontological principle]....” (NEWMAN, 2010:53). Tal posição é refutada em “A ética da inservidão voluntária de Stirner”, no qual destaca: “</w:t>
      </w:r>
      <w:r w:rsidRPr="009034E2">
        <w:rPr>
          <w:rFonts w:ascii="Times New Roman" w:hAnsi="Times New Roman" w:cs="Times New Roman"/>
          <w:sz w:val="24"/>
          <w:szCs w:val="24"/>
        </w:rPr>
        <w:t>precisamos pensar em um anarquismo sem fundamentos, ou sem fundamentos absolutos e fixos – um anarquismo sem uma arché como princípio ontológico orientador e determinante [guiding and determining ontological principle]” (NEWMAN, 2011b:206). Ao questionar um “princípio ontológico orientador”, o autor propõe a anarquia como “princípio ontológico”?</w:t>
      </w:r>
    </w:p>
    <w:p w14:paraId="5B210C6C" w14:textId="77777777" w:rsidR="00DD089F" w:rsidRPr="009034E2" w:rsidRDefault="00DD089F" w:rsidP="001F6577">
      <w:pPr>
        <w:pStyle w:val="SemEspaamento"/>
        <w:spacing w:line="360" w:lineRule="auto"/>
        <w:ind w:firstLine="851"/>
        <w:jc w:val="both"/>
        <w:rPr>
          <w:rFonts w:ascii="Times New Roman" w:eastAsia="Aptos" w:hAnsi="Times New Roman" w:cs="Times New Roman"/>
          <w:color w:val="000000" w:themeColor="text1"/>
          <w:sz w:val="24"/>
          <w:szCs w:val="24"/>
        </w:rPr>
      </w:pPr>
      <w:r w:rsidRPr="009034E2">
        <w:rPr>
          <w:rFonts w:ascii="Times New Roman" w:eastAsia="Aptos" w:hAnsi="Times New Roman" w:cs="Times New Roman"/>
          <w:color w:val="000000" w:themeColor="text1"/>
          <w:sz w:val="24"/>
          <w:szCs w:val="24"/>
        </w:rPr>
        <w:t>Essa contradição atravessa toda a formulação de uma ontologia anarquista: a necessidade de ruptura com o princípio essencialista, concomitante a afirmação de outro princípio pretensamente não fundacionista. Por exemplo: “a propriedade é uma forma de liberdade que não depende de fatores externos, mas é, antes, a condição ontológica do sujeito” (NEWMAN, 2019:156). Ou ainda: “o proprietário toma a si mesmo como seu próprio axioma e considera a liberdade não como um objetivo externo a ser alcançado, mas sim como sua condição ontológica permanente [permanent ontological condition]” (NEWMAN, 2019:160).  Ora, poderíamos pensar essa “condição ontológica permanente” como uma imposição essencialista, a partir de um princípio metafísico e um propósito fatalista? A subjetividade ontológica está presa à liberdade, como fundamento essencialista que independe de “fatores externos”, como uma natureza humana ou determinação inata.</w:t>
      </w:r>
    </w:p>
    <w:p w14:paraId="1DE6769C" w14:textId="77777777" w:rsidR="00DD089F" w:rsidRPr="009034E2" w:rsidRDefault="00DD089F" w:rsidP="001F6577">
      <w:pPr>
        <w:pStyle w:val="SemEspaamento"/>
        <w:spacing w:line="360" w:lineRule="auto"/>
        <w:ind w:firstLine="851"/>
        <w:jc w:val="both"/>
        <w:rPr>
          <w:rFonts w:ascii="Times New Roman" w:eastAsia="Aptos" w:hAnsi="Times New Roman" w:cs="Times New Roman"/>
          <w:sz w:val="24"/>
          <w:szCs w:val="24"/>
        </w:rPr>
      </w:pPr>
      <w:r w:rsidRPr="009034E2">
        <w:rPr>
          <w:rFonts w:ascii="Times New Roman" w:eastAsia="Aptos" w:hAnsi="Times New Roman" w:cs="Times New Roman"/>
          <w:color w:val="000000" w:themeColor="text1"/>
          <w:sz w:val="24"/>
          <w:szCs w:val="24"/>
        </w:rPr>
        <w:t>Saul Newman reconhece essa tensão inerente ao próprio desenvolvimento do pensamento anarquista: “Essa ontologia anárquica... é absolutamente central para o anarquismo; mas, ao mesmo tempo, está em tensão com o desejo do anarquismo de se basear em fundamentos ontológicos firmes e compromissos normativos” (NEWMAN, 2019b:91).</w:t>
      </w:r>
    </w:p>
    <w:p w14:paraId="2D60FD50" w14:textId="77777777" w:rsidR="00DD089F" w:rsidRPr="009034E2" w:rsidRDefault="00DD089F" w:rsidP="001F6577">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Definir um “princípio ontológico” como ausência de princípios é tautológico. Ou seja, é paradoxal criticar o autoritarismo de fundamentos e terminar por reproduzir um (anti)fundamento. Não se trata de mero jogo de palavras: dizer que a subjetividade é indeterminada e aberta ao devir da própria criação é distinto de afirmar que a subjetividade é fundamentada na ausência de princípios e propósitos. Esse “princípio ontológico”, contraditoriamente, impõe à subjetividade a necessidade inelutável de criar a si mesma: é uma liberdade ontológica que determina uma vocação, um destino inescapável à subjetividade. Essa imposição de ausência de fundamento e essa fatalidade de inventar a si mesma, submetem a subjetividade à criação compulsória de si – o que pode ser lido como um exercício de poder pela “an-arquia” ou um modo de subjetivação subjugado ao “anarquismo ontológico”.  Há uma armadilha essencialista em determinar um (anti)princípio (o “nada”) e um (anti)propósito (a criação de si) como obrigações ontológicas (inatas e inescapáveis) que constrangem a subjetividade.</w:t>
      </w:r>
    </w:p>
    <w:p w14:paraId="7CE2BA34" w14:textId="77777777" w:rsidR="00DD089F" w:rsidRPr="009034E2" w:rsidRDefault="00DD089F" w:rsidP="001F6577">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 xml:space="preserve">Tenho a impressão que essas contradições derivam, exatamente, da cilada da ontologia como discurso sobre o “ser” ou definição daquilo que “é”. Max Stirner, sem dúvidas o autor que mais influencia o pós-anarquismo de Saul Newman, esquiva-se das armadilhas ontológicas - não utilizando essa expressão em sua obra. Repudia, inclusive, uma “ontologia”. </w:t>
      </w:r>
    </w:p>
    <w:p w14:paraId="210E5C6C" w14:textId="77777777" w:rsidR="00DD089F" w:rsidRPr="009034E2" w:rsidRDefault="00DD089F" w:rsidP="001F6577">
      <w:pPr>
        <w:pStyle w:val="SemEspaamento"/>
        <w:spacing w:line="360" w:lineRule="auto"/>
        <w:ind w:firstLine="851"/>
        <w:jc w:val="both"/>
        <w:rPr>
          <w:rFonts w:ascii="Times New Roman" w:hAnsi="Times New Roman" w:cs="Times New Roman"/>
          <w:sz w:val="24"/>
          <w:szCs w:val="24"/>
          <w:lang w:val="pt"/>
        </w:rPr>
      </w:pPr>
      <w:r w:rsidRPr="009034E2">
        <w:rPr>
          <w:rFonts w:ascii="Times New Roman" w:hAnsi="Times New Roman" w:cs="Times New Roman"/>
          <w:sz w:val="24"/>
          <w:szCs w:val="24"/>
        </w:rPr>
        <w:t>Ao discutir “O ínico”, Max Stirner recusa a caracterização da subjetividade  a partir de qualquer conceito universal, como a humanidade, por “</w:t>
      </w:r>
      <w:r w:rsidRPr="009034E2">
        <w:rPr>
          <w:rFonts w:ascii="Times New Roman" w:hAnsi="Times New Roman" w:cs="Times New Roman"/>
          <w:sz w:val="24"/>
          <w:szCs w:val="24"/>
          <w:lang w:val="pt"/>
        </w:rPr>
        <w:t xml:space="preserve">não expressar </w:t>
      </w:r>
      <w:r w:rsidRPr="009034E2">
        <w:rPr>
          <w:rFonts w:ascii="Times New Roman" w:hAnsi="Times New Roman" w:cs="Times New Roman"/>
          <w:i/>
          <w:iCs/>
          <w:sz w:val="24"/>
          <w:szCs w:val="24"/>
          <w:lang w:val="pt"/>
        </w:rPr>
        <w:t>quem</w:t>
      </w:r>
      <w:r w:rsidRPr="009034E2">
        <w:rPr>
          <w:rFonts w:ascii="Times New Roman" w:hAnsi="Times New Roman" w:cs="Times New Roman"/>
          <w:sz w:val="24"/>
          <w:szCs w:val="24"/>
          <w:lang w:val="pt"/>
        </w:rPr>
        <w:t xml:space="preserve"> todos são” (STIRNER, 1845:08 – grifos do autor). O humano, como qualquer definição geral do ser com feição ontológica, retira a “subjetividade do sujeito”, suprime a singularidade em prol da universalidade: “Você está completamente definido quando alguém diz que é um ser humano? Alguém expressou </w:t>
      </w:r>
      <w:r w:rsidRPr="009034E2">
        <w:rPr>
          <w:rFonts w:ascii="Times New Roman" w:hAnsi="Times New Roman" w:cs="Times New Roman"/>
          <w:i/>
          <w:iCs/>
          <w:sz w:val="24"/>
          <w:szCs w:val="24"/>
          <w:lang w:val="pt"/>
        </w:rPr>
        <w:t>quem</w:t>
      </w:r>
      <w:r w:rsidRPr="009034E2">
        <w:rPr>
          <w:rFonts w:ascii="Times New Roman" w:hAnsi="Times New Roman" w:cs="Times New Roman"/>
          <w:sz w:val="24"/>
          <w:szCs w:val="24"/>
          <w:lang w:val="pt"/>
        </w:rPr>
        <w:t xml:space="preserve"> você é completamente? (STIRNER, 1845: 08). Concluindo: “Portanto, se o atributo deve incluir </w:t>
      </w:r>
      <w:r w:rsidRPr="009034E2">
        <w:rPr>
          <w:rFonts w:ascii="Times New Roman" w:hAnsi="Times New Roman" w:cs="Times New Roman"/>
          <w:i/>
          <w:iCs/>
          <w:sz w:val="24"/>
          <w:szCs w:val="24"/>
          <w:lang w:val="pt"/>
        </w:rPr>
        <w:t>todos</w:t>
      </w:r>
      <w:r w:rsidRPr="009034E2">
        <w:rPr>
          <w:rFonts w:ascii="Times New Roman" w:hAnsi="Times New Roman" w:cs="Times New Roman"/>
          <w:sz w:val="24"/>
          <w:szCs w:val="24"/>
          <w:lang w:val="pt"/>
        </w:rPr>
        <w:t xml:space="preserve"> em si mesmo, todos devem aparecer como sujeito, ou seja, não apenas </w:t>
      </w:r>
      <w:r w:rsidRPr="009034E2">
        <w:rPr>
          <w:rFonts w:ascii="Times New Roman" w:hAnsi="Times New Roman" w:cs="Times New Roman"/>
          <w:i/>
          <w:iCs/>
          <w:sz w:val="24"/>
          <w:szCs w:val="24"/>
          <w:lang w:val="pt"/>
        </w:rPr>
        <w:t>o que são</w:t>
      </w:r>
      <w:r w:rsidRPr="009034E2">
        <w:rPr>
          <w:rFonts w:ascii="Times New Roman" w:hAnsi="Times New Roman" w:cs="Times New Roman"/>
          <w:sz w:val="24"/>
          <w:szCs w:val="24"/>
          <w:lang w:val="pt"/>
        </w:rPr>
        <w:t xml:space="preserve">, mas </w:t>
      </w:r>
      <w:r w:rsidRPr="009034E2">
        <w:rPr>
          <w:rFonts w:ascii="Times New Roman" w:hAnsi="Times New Roman" w:cs="Times New Roman"/>
          <w:i/>
          <w:iCs/>
          <w:sz w:val="24"/>
          <w:szCs w:val="24"/>
          <w:lang w:val="pt"/>
        </w:rPr>
        <w:t>quem são</w:t>
      </w:r>
      <w:r w:rsidRPr="009034E2">
        <w:rPr>
          <w:rFonts w:ascii="Times New Roman" w:hAnsi="Times New Roman" w:cs="Times New Roman"/>
          <w:sz w:val="24"/>
          <w:szCs w:val="24"/>
          <w:lang w:val="pt"/>
        </w:rPr>
        <w:t>” (STIRNER, 1845:08). Stirner rejeita a ontologia (o que é) pela subjetividade única e singular (quem é). Ou seja, não o homem, mas “este homem, este único, este incomparável...” (STIRNER, 1845:06). Na defesa da subjetividade singular, Stirner desenvolve uma psicologia (quem é este ser), não uma ontologia (que é o ser).</w:t>
      </w:r>
    </w:p>
    <w:p w14:paraId="3EFC54B4" w14:textId="77777777" w:rsidR="00DD089F" w:rsidRPr="009034E2" w:rsidRDefault="00DD089F" w:rsidP="001F6577">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Essa recusa também é vista em Michel Foucault, embora não seja uma constante em sua obra. No texto “Sujeito e Poder”, muito citado por Saul Newman, Foucault (1995) discute seu método de análise do poder nos modos de subjetivação, não a partir da pergunta “O que é o poder?”, mas se pergunta “como” o poder opera, justificando: “A pequena questão, direta e empírica: ‘Como isto acontece?’, não tem por função denunciar como fraude uma ‘metafísica’ ou uma ‘ontologia’ do poder; mas tentar uma investigação crítica sobre a temática do poder” (FOUCAULT, 1995:240). O empirismo do “como”, em detrimento da metafísica do “o que é” ressalta o devir do poder em situações históricas concretas, em detrimento de uma “ontologia” que se engessa no “ser” pretensamente imutável.</w:t>
      </w:r>
    </w:p>
    <w:p w14:paraId="714A6371" w14:textId="77777777" w:rsidR="00DD089F" w:rsidRPr="009034E2" w:rsidRDefault="00DD089F" w:rsidP="001F6577">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Carolina Noto (2009:08), ao pesquisar a ontologia do sujeito em Michel Foucault, ressalta o posicionamento do filósofo francês em rejeitar a ontologia metafísica (que investiga o “ser” ou “o que é o homem”) para postular uma “ontologia crítica e histórica”: como somos em determinado contexto histórico. Essa ontologia do presente em Foucault não afirma um “princípio ontológico”, mas, exatamente, os modos de subjetivação historicamente vivenciados.</w:t>
      </w:r>
    </w:p>
    <w:p w14:paraId="4DD5CF06" w14:textId="77777777" w:rsidR="00DD089F" w:rsidRPr="009034E2" w:rsidRDefault="00DD089F" w:rsidP="00FF7A34">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Assim como a subjetividade autodisciplinada faz emergir pelas portas do fundo a moralidade e a racionalidade tão criticadas por Saul Newman, sua “ontologia anarquista” é assombrada pelos mesmos princípios essencialistas que tão veementemente rejeita.</w:t>
      </w:r>
    </w:p>
    <w:p w14:paraId="563CC5BF" w14:textId="77777777" w:rsidR="00FF7A34" w:rsidRPr="009034E2" w:rsidRDefault="00FF7A34" w:rsidP="00FF7A34">
      <w:pPr>
        <w:pStyle w:val="SemEspaamento"/>
        <w:ind w:firstLine="851"/>
        <w:jc w:val="both"/>
        <w:rPr>
          <w:rFonts w:ascii="Times New Roman" w:eastAsia="Aptos" w:hAnsi="Times New Roman" w:cs="Times New Roman"/>
          <w:sz w:val="24"/>
          <w:szCs w:val="24"/>
        </w:rPr>
      </w:pPr>
    </w:p>
    <w:p w14:paraId="6401F8AC" w14:textId="5F6C48A0" w:rsidR="00DD089F" w:rsidRPr="009034E2" w:rsidRDefault="005E5E1B" w:rsidP="00FF7A34">
      <w:pPr>
        <w:pStyle w:val="SemEspaamento"/>
        <w:spacing w:line="360" w:lineRule="auto"/>
        <w:jc w:val="both"/>
        <w:rPr>
          <w:rFonts w:ascii="Times New Roman" w:eastAsia="Aptos" w:hAnsi="Times New Roman" w:cs="Times New Roman"/>
          <w:b/>
          <w:bCs/>
          <w:sz w:val="24"/>
          <w:szCs w:val="24"/>
        </w:rPr>
      </w:pPr>
      <w:r w:rsidRPr="009034E2">
        <w:rPr>
          <w:rFonts w:ascii="Times New Roman" w:eastAsia="Aptos" w:hAnsi="Times New Roman" w:cs="Times New Roman"/>
          <w:b/>
          <w:bCs/>
          <w:sz w:val="24"/>
          <w:szCs w:val="24"/>
        </w:rPr>
        <w:t>7</w:t>
      </w:r>
      <w:r w:rsidR="001F6577" w:rsidRPr="009034E2">
        <w:rPr>
          <w:rFonts w:ascii="Times New Roman" w:eastAsia="Aptos" w:hAnsi="Times New Roman" w:cs="Times New Roman"/>
          <w:b/>
          <w:bCs/>
          <w:sz w:val="24"/>
          <w:szCs w:val="24"/>
        </w:rPr>
        <w:t>.</w:t>
      </w:r>
      <w:r w:rsidR="00FD4537" w:rsidRPr="009034E2">
        <w:rPr>
          <w:rFonts w:ascii="Times New Roman" w:eastAsia="Aptos" w:hAnsi="Times New Roman" w:cs="Times New Roman"/>
          <w:b/>
          <w:bCs/>
          <w:sz w:val="24"/>
          <w:szCs w:val="24"/>
        </w:rPr>
        <w:t xml:space="preserve"> </w:t>
      </w:r>
      <w:r w:rsidR="001F6577" w:rsidRPr="009034E2">
        <w:rPr>
          <w:rFonts w:ascii="Times New Roman" w:eastAsia="Aptos" w:hAnsi="Times New Roman" w:cs="Times New Roman"/>
          <w:b/>
          <w:bCs/>
          <w:sz w:val="24"/>
          <w:szCs w:val="24"/>
        </w:rPr>
        <w:t xml:space="preserve">CONSIDERAÇÕES FINAIS  </w:t>
      </w:r>
    </w:p>
    <w:p w14:paraId="06A066EB" w14:textId="77777777" w:rsidR="00FD4537" w:rsidRPr="009034E2" w:rsidRDefault="00FD4537" w:rsidP="00FD4537">
      <w:pPr>
        <w:pStyle w:val="SemEspaamento"/>
        <w:jc w:val="both"/>
        <w:rPr>
          <w:rFonts w:ascii="Times New Roman" w:eastAsia="Aptos" w:hAnsi="Times New Roman" w:cs="Times New Roman"/>
          <w:b/>
          <w:bCs/>
          <w:sz w:val="24"/>
          <w:szCs w:val="24"/>
        </w:rPr>
      </w:pPr>
    </w:p>
    <w:p w14:paraId="3AADCDE7" w14:textId="77777777" w:rsidR="00DD089F" w:rsidRPr="009034E2" w:rsidRDefault="00DD089F" w:rsidP="00FF7A34">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Com o objetivo de compreender a noção de subjetividade na obra de Saul Newman, o presente artigo analisou o questionamento da subjetividade essencialista, extraída do humanismo iluminista, que institui a racionalidade e a moralidade inerentes à essência humana. Tal essencialismo é combatido na noção de subjetividade insurreta que destrói os ideais abstratos e vivencia o “nada” como vazio a partir do qual o indivíduo inventa a si mesmo, em um interminável devir criativo. A subjetividade, contudo, não abrange apenas o indivíduo, mas o sujeito coletivo radical, cujo vir-a-ser é exemplificado por coletivos políticos de ação direta e organização horizontal das relações (pautadas no respeito à pluralidade de perspectivas e diversidade das lutas sociais). Por fim, a subjetividade individual e a coletiva são acolhidas pela ontologia an-arquista, que rejeita a arché (como princípio essencialista da existência) e o telos (como seu propósito fatalista) em um processo autocriação antiautoritária.</w:t>
      </w:r>
    </w:p>
    <w:p w14:paraId="38C0F494" w14:textId="77777777" w:rsidR="00DD089F" w:rsidRPr="009034E2" w:rsidRDefault="00DD089F" w:rsidP="001F6577">
      <w:pPr>
        <w:pStyle w:val="SemEspaamento"/>
        <w:spacing w:line="360" w:lineRule="auto"/>
        <w:ind w:firstLine="851"/>
        <w:jc w:val="both"/>
        <w:rPr>
          <w:rFonts w:ascii="Times New Roman" w:eastAsia="Aptos" w:hAnsi="Times New Roman" w:cs="Times New Roman"/>
          <w:sz w:val="24"/>
          <w:szCs w:val="24"/>
        </w:rPr>
      </w:pPr>
      <w:r w:rsidRPr="009034E2">
        <w:rPr>
          <w:rFonts w:ascii="Times New Roman" w:hAnsi="Times New Roman" w:cs="Times New Roman"/>
          <w:sz w:val="24"/>
          <w:szCs w:val="24"/>
        </w:rPr>
        <w:t>Fez-se a devida crítica da subjetividade em Saul Newman: a tendência subjetivista da aposta em uma insurreição individual e interna (psicológica), corrigida a partir de uma “subjetividade ética” que abrange sublevações coletivas; a subjetividade autodisciplinada, contraditoriamente dominada pela moralidade e racionalismo tão criticados por Saul Newman; e, por fim, a ideia essencialista de um “princípio ontológico” da liberdade que tensiona com a subjetividade pós-fundacionista sem princípios determinados ou propósitos definidos.</w:t>
      </w:r>
    </w:p>
    <w:p w14:paraId="5D73AD8D" w14:textId="77777777" w:rsidR="00DD089F" w:rsidRDefault="00DD089F" w:rsidP="001F6577">
      <w:pPr>
        <w:pStyle w:val="SemEspaamento"/>
        <w:spacing w:line="360" w:lineRule="auto"/>
        <w:ind w:firstLine="851"/>
        <w:jc w:val="both"/>
        <w:rPr>
          <w:rFonts w:ascii="Times New Roman" w:hAnsi="Times New Roman" w:cs="Times New Roman"/>
          <w:sz w:val="24"/>
          <w:szCs w:val="24"/>
        </w:rPr>
      </w:pPr>
      <w:r w:rsidRPr="009034E2">
        <w:rPr>
          <w:rFonts w:ascii="Times New Roman" w:hAnsi="Times New Roman" w:cs="Times New Roman"/>
          <w:sz w:val="24"/>
          <w:szCs w:val="24"/>
        </w:rPr>
        <w:t>Desta forma, conclui-se que Saul Newman oferece grandes contribuições para uma análise (pós)anarquista da subjetividade, incorporando, contudo, algumas contradições que devem ser devidamente ponderadas. A Psicologia surgiu exatamente a partir da crise da subjetividade moderna açoitada pelos modos de dominação da sociedade liberal (FIGUEIREDO; SANTI, 2008). Quem sabe a Psicologia, com sua grande diversidade de abordagens, possa contribuir para a compreensão da subjetividade em uma perspectiva anarquista.</w:t>
      </w:r>
    </w:p>
    <w:p w14:paraId="43BDA3CF" w14:textId="77777777" w:rsidR="00E71487" w:rsidRPr="009034E2" w:rsidRDefault="00E71487" w:rsidP="001F6577">
      <w:pPr>
        <w:pStyle w:val="SemEspaamento"/>
        <w:spacing w:line="360" w:lineRule="auto"/>
        <w:ind w:firstLine="851"/>
        <w:jc w:val="both"/>
        <w:rPr>
          <w:rFonts w:ascii="Times New Roman" w:eastAsia="Aptos" w:hAnsi="Times New Roman" w:cs="Times New Roman"/>
          <w:sz w:val="24"/>
          <w:szCs w:val="24"/>
        </w:rPr>
      </w:pPr>
    </w:p>
    <w:p w14:paraId="5E2379BB" w14:textId="14B5B395" w:rsidR="00DD089F" w:rsidRPr="009034E2" w:rsidRDefault="001F6577" w:rsidP="001F6577">
      <w:pPr>
        <w:pStyle w:val="SemEspaamento"/>
        <w:spacing w:line="360" w:lineRule="auto"/>
        <w:jc w:val="both"/>
        <w:rPr>
          <w:rFonts w:ascii="Times New Roman" w:eastAsia="Aptos" w:hAnsi="Times New Roman" w:cs="Times New Roman"/>
          <w:b/>
          <w:bCs/>
          <w:sz w:val="24"/>
          <w:szCs w:val="24"/>
        </w:rPr>
      </w:pPr>
      <w:r w:rsidRPr="009034E2">
        <w:rPr>
          <w:rFonts w:ascii="Times New Roman" w:eastAsia="Aptos" w:hAnsi="Times New Roman" w:cs="Times New Roman"/>
          <w:b/>
          <w:bCs/>
          <w:sz w:val="24"/>
          <w:szCs w:val="24"/>
        </w:rPr>
        <w:t xml:space="preserve">REFERÊNCIAS </w:t>
      </w:r>
    </w:p>
    <w:p w14:paraId="1201D2E7" w14:textId="77777777" w:rsidR="00DD089F" w:rsidRPr="009034E2" w:rsidRDefault="00DD089F" w:rsidP="00304668">
      <w:pPr>
        <w:pStyle w:val="SemEspaamento"/>
        <w:jc w:val="both"/>
        <w:rPr>
          <w:rFonts w:ascii="Times New Roman" w:eastAsia="Times New Roman" w:hAnsi="Times New Roman" w:cs="Times New Roman"/>
          <w:color w:val="000000" w:themeColor="text1"/>
          <w:sz w:val="24"/>
          <w:szCs w:val="24"/>
        </w:rPr>
      </w:pPr>
    </w:p>
    <w:p w14:paraId="6B04A4D5" w14:textId="77777777" w:rsidR="00DD089F" w:rsidRPr="00E71487"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color w:val="000000" w:themeColor="text1"/>
          <w:sz w:val="24"/>
          <w:szCs w:val="24"/>
          <w:lang w:val="en-US"/>
        </w:rPr>
        <w:t xml:space="preserve">BEY, HAKIM. </w:t>
      </w:r>
      <w:r w:rsidRPr="009034E2">
        <w:rPr>
          <w:rFonts w:ascii="Times New Roman" w:hAnsi="Times New Roman" w:cs="Times New Roman"/>
          <w:i/>
          <w:iCs/>
          <w:color w:val="000000" w:themeColor="text1"/>
          <w:sz w:val="24"/>
          <w:szCs w:val="24"/>
          <w:lang w:val="en-US"/>
        </w:rPr>
        <w:t>I</w:t>
      </w:r>
      <w:r w:rsidRPr="009034E2">
        <w:rPr>
          <w:rFonts w:ascii="Times New Roman" w:hAnsi="Times New Roman" w:cs="Times New Roman"/>
          <w:i/>
          <w:iCs/>
          <w:sz w:val="24"/>
          <w:szCs w:val="24"/>
          <w:lang w:val="en-US"/>
        </w:rPr>
        <w:t>mmediatism</w:t>
      </w:r>
      <w:r w:rsidRPr="009034E2">
        <w:rPr>
          <w:rFonts w:ascii="Times New Roman" w:hAnsi="Times New Roman" w:cs="Times New Roman"/>
          <w:sz w:val="24"/>
          <w:szCs w:val="24"/>
          <w:lang w:val="en-US"/>
        </w:rPr>
        <w:t>: essays by Hakim Bey. AK Press: Edinburgh/San Francisco, 1994.</w:t>
      </w:r>
    </w:p>
    <w:p w14:paraId="1D794418" w14:textId="77777777" w:rsidR="00E71487" w:rsidRPr="009034E2" w:rsidRDefault="00E71487" w:rsidP="00304668">
      <w:pPr>
        <w:pStyle w:val="SemEspaamento"/>
        <w:ind w:left="851"/>
        <w:jc w:val="both"/>
        <w:rPr>
          <w:rFonts w:ascii="Times New Roman" w:hAnsi="Times New Roman" w:cs="Times New Roman"/>
          <w:color w:val="000000" w:themeColor="text1"/>
          <w:sz w:val="24"/>
          <w:szCs w:val="24"/>
        </w:rPr>
      </w:pPr>
    </w:p>
    <w:p w14:paraId="2C347312" w14:textId="7A99D67C" w:rsidR="00DD089F" w:rsidRPr="009034E2" w:rsidRDefault="00DF4643" w:rsidP="00304668">
      <w:pPr>
        <w:pStyle w:val="SemEspaamento"/>
        <w:numPr>
          <w:ilvl w:val="0"/>
          <w:numId w:val="16"/>
        </w:numPr>
        <w:ind w:left="-142" w:firstLine="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 </w:t>
      </w:r>
      <w:r w:rsidR="00DD089F" w:rsidRPr="009034E2">
        <w:rPr>
          <w:rFonts w:ascii="Times New Roman" w:eastAsia="Times New Roman" w:hAnsi="Times New Roman" w:cs="Times New Roman"/>
          <w:color w:val="000000" w:themeColor="text1"/>
          <w:sz w:val="24"/>
          <w:szCs w:val="24"/>
        </w:rPr>
        <w:t xml:space="preserve">FIGUEIREDO, Luís Cláudio; SANTI, Pedro Luiz. </w:t>
      </w:r>
      <w:r w:rsidR="00DD089F" w:rsidRPr="009034E2">
        <w:rPr>
          <w:rFonts w:ascii="Times New Roman" w:eastAsia="Times New Roman" w:hAnsi="Times New Roman" w:cs="Times New Roman"/>
          <w:i/>
          <w:iCs/>
          <w:color w:val="000000" w:themeColor="text1"/>
          <w:sz w:val="24"/>
          <w:szCs w:val="24"/>
        </w:rPr>
        <w:t>Psicologia</w:t>
      </w:r>
      <w:r w:rsidR="00DD089F" w:rsidRPr="009034E2">
        <w:rPr>
          <w:rFonts w:ascii="Times New Roman" w:eastAsia="Times New Roman" w:hAnsi="Times New Roman" w:cs="Times New Roman"/>
          <w:color w:val="000000" w:themeColor="text1"/>
          <w:sz w:val="24"/>
          <w:szCs w:val="24"/>
        </w:rPr>
        <w:t>: uma (nova) introdução: uma visão histórica da Psicologia como ciência. 3a ed. São Paulo: EDUC, 2008.</w:t>
      </w:r>
    </w:p>
    <w:p w14:paraId="086B7DC1" w14:textId="77777777" w:rsidR="001F6577" w:rsidRPr="009034E2" w:rsidRDefault="001F6577" w:rsidP="00304668">
      <w:pPr>
        <w:pStyle w:val="SemEspaamento"/>
        <w:ind w:left="-142"/>
        <w:jc w:val="both"/>
        <w:rPr>
          <w:rFonts w:ascii="Times New Roman" w:hAnsi="Times New Roman" w:cs="Times New Roman"/>
          <w:sz w:val="24"/>
          <w:szCs w:val="24"/>
        </w:rPr>
      </w:pPr>
    </w:p>
    <w:p w14:paraId="732F3E65" w14:textId="32C8578A" w:rsidR="00DD089F" w:rsidRPr="009034E2" w:rsidRDefault="00E71487" w:rsidP="00304668">
      <w:pPr>
        <w:pStyle w:val="SemEspaamento"/>
        <w:numPr>
          <w:ilvl w:val="0"/>
          <w:numId w:val="16"/>
        </w:numPr>
        <w:ind w:left="-142" w:firstLine="0"/>
        <w:jc w:val="both"/>
        <w:rPr>
          <w:rFonts w:ascii="Times New Roman" w:hAnsi="Times New Roman" w:cs="Times New Roman"/>
          <w:b/>
          <w:bCs/>
          <w:sz w:val="24"/>
          <w:szCs w:val="24"/>
        </w:rPr>
      </w:pPr>
      <w:r>
        <w:rPr>
          <w:rFonts w:ascii="Times New Roman" w:hAnsi="Times New Roman" w:cs="Times New Roman"/>
          <w:sz w:val="24"/>
          <w:szCs w:val="24"/>
        </w:rPr>
        <w:t xml:space="preserve">        </w:t>
      </w:r>
      <w:r w:rsidR="00DD089F" w:rsidRPr="009034E2">
        <w:rPr>
          <w:rFonts w:ascii="Times New Roman" w:hAnsi="Times New Roman" w:cs="Times New Roman"/>
          <w:sz w:val="24"/>
          <w:szCs w:val="24"/>
        </w:rPr>
        <w:t xml:space="preserve">FOUCAULT, Michel. O sujeito e o poder. In: DREYFUS, Hubert L.; RABINOW, Paul. </w:t>
      </w:r>
      <w:r w:rsidR="00DD089F" w:rsidRPr="009034E2">
        <w:rPr>
          <w:rFonts w:ascii="Times New Roman" w:hAnsi="Times New Roman" w:cs="Times New Roman"/>
          <w:i/>
          <w:iCs/>
          <w:sz w:val="24"/>
          <w:szCs w:val="24"/>
        </w:rPr>
        <w:t>Uma trajetória filosófica</w:t>
      </w:r>
      <w:r w:rsidR="00DD089F" w:rsidRPr="009034E2">
        <w:rPr>
          <w:rFonts w:ascii="Times New Roman" w:hAnsi="Times New Roman" w:cs="Times New Roman"/>
          <w:sz w:val="24"/>
          <w:szCs w:val="24"/>
        </w:rPr>
        <w:t>: para além do estruturalismo e da hermenêutica. (Verda Porto Carrero, trad.). Rio de Janeiro: Forense Universitária, 1995. p. 231-249.</w:t>
      </w:r>
    </w:p>
    <w:p w14:paraId="7A30091E" w14:textId="77777777" w:rsidR="001F6577" w:rsidRPr="009034E2" w:rsidRDefault="001F6577" w:rsidP="00304668">
      <w:pPr>
        <w:pStyle w:val="PargrafodaLista"/>
        <w:spacing w:after="0" w:line="240" w:lineRule="auto"/>
        <w:ind w:left="-142"/>
        <w:rPr>
          <w:rFonts w:ascii="Times New Roman" w:hAnsi="Times New Roman" w:cs="Times New Roman"/>
          <w:b/>
          <w:bCs/>
          <w:sz w:val="24"/>
          <w:szCs w:val="24"/>
        </w:rPr>
      </w:pPr>
    </w:p>
    <w:p w14:paraId="7679A61E" w14:textId="5E46AE77" w:rsidR="00DD089F" w:rsidRPr="009034E2" w:rsidRDefault="00DD089F" w:rsidP="00304668">
      <w:pPr>
        <w:pStyle w:val="SemEspaamento"/>
        <w:numPr>
          <w:ilvl w:val="0"/>
          <w:numId w:val="16"/>
        </w:numPr>
        <w:ind w:left="-142" w:firstLine="0"/>
        <w:jc w:val="both"/>
        <w:rPr>
          <w:rFonts w:ascii="Times New Roman" w:hAnsi="Times New Roman" w:cs="Times New Roman"/>
          <w:sz w:val="24"/>
          <w:szCs w:val="24"/>
        </w:rPr>
      </w:pPr>
      <w:r w:rsidRPr="009034E2">
        <w:rPr>
          <w:rFonts w:ascii="Times New Roman" w:hAnsi="Times New Roman" w:cs="Times New Roman"/>
          <w:color w:val="000000" w:themeColor="text1"/>
          <w:sz w:val="24"/>
          <w:szCs w:val="24"/>
          <w:lang w:val="en-US"/>
        </w:rPr>
        <w:t xml:space="preserve">GRAEBER, David. </w:t>
      </w:r>
      <w:r w:rsidRPr="009034E2">
        <w:rPr>
          <w:rFonts w:ascii="Times New Roman" w:hAnsi="Times New Roman" w:cs="Times New Roman"/>
          <w:i/>
          <w:iCs/>
          <w:color w:val="000000" w:themeColor="text1"/>
          <w:sz w:val="24"/>
          <w:szCs w:val="24"/>
          <w:lang w:val="en-US"/>
        </w:rPr>
        <w:t>Fragments of an anarchist anthropology</w:t>
      </w:r>
      <w:r w:rsidRPr="009034E2">
        <w:rPr>
          <w:rFonts w:ascii="Times New Roman" w:hAnsi="Times New Roman" w:cs="Times New Roman"/>
          <w:color w:val="000000" w:themeColor="text1"/>
          <w:sz w:val="24"/>
          <w:szCs w:val="24"/>
          <w:lang w:val="en-US"/>
        </w:rPr>
        <w:t>. Chicago: Prickly Paradigm Press, 2004.</w:t>
      </w:r>
    </w:p>
    <w:p w14:paraId="0A6B6679" w14:textId="77777777" w:rsidR="001F6577" w:rsidRPr="009034E2" w:rsidRDefault="001F6577" w:rsidP="00304668">
      <w:pPr>
        <w:pStyle w:val="PargrafodaLista"/>
        <w:spacing w:after="0" w:line="240" w:lineRule="auto"/>
        <w:ind w:left="-142"/>
        <w:rPr>
          <w:rFonts w:ascii="Times New Roman" w:hAnsi="Times New Roman" w:cs="Times New Roman"/>
          <w:sz w:val="24"/>
          <w:szCs w:val="24"/>
        </w:rPr>
      </w:pPr>
    </w:p>
    <w:p w14:paraId="33E6CFCD" w14:textId="1EE87876" w:rsidR="00DD089F" w:rsidRPr="009034E2" w:rsidRDefault="00DD089F" w:rsidP="00304668">
      <w:pPr>
        <w:pStyle w:val="SemEspaamento"/>
        <w:numPr>
          <w:ilvl w:val="0"/>
          <w:numId w:val="16"/>
        </w:numPr>
        <w:ind w:left="-142" w:firstLine="0"/>
        <w:jc w:val="both"/>
        <w:rPr>
          <w:rFonts w:ascii="Times New Roman" w:hAnsi="Times New Roman" w:cs="Times New Roman"/>
          <w:sz w:val="24"/>
          <w:szCs w:val="24"/>
        </w:rPr>
      </w:pPr>
      <w:r w:rsidRPr="009034E2">
        <w:rPr>
          <w:rFonts w:ascii="Times New Roman" w:hAnsi="Times New Roman" w:cs="Times New Roman"/>
          <w:color w:val="000000" w:themeColor="text1"/>
          <w:sz w:val="24"/>
          <w:szCs w:val="24"/>
        </w:rPr>
        <w:t xml:space="preserve">IBÁÑEZ, Tomás. </w:t>
      </w:r>
      <w:r w:rsidRPr="009034E2">
        <w:rPr>
          <w:rFonts w:ascii="Times New Roman" w:hAnsi="Times New Roman" w:cs="Times New Roman"/>
          <w:i/>
          <w:iCs/>
          <w:color w:val="000000" w:themeColor="text1"/>
          <w:sz w:val="24"/>
          <w:szCs w:val="24"/>
        </w:rPr>
        <w:t>Anarquismo en movimiento</w:t>
      </w:r>
      <w:r w:rsidRPr="009034E2">
        <w:rPr>
          <w:rFonts w:ascii="Times New Roman" w:hAnsi="Times New Roman" w:cs="Times New Roman"/>
          <w:color w:val="000000" w:themeColor="text1"/>
          <w:sz w:val="24"/>
          <w:szCs w:val="24"/>
        </w:rPr>
        <w:t>: anarquismo, neoanarquismo y postanarquismo. Ciudad Autónoma de Buenos Aires: Libros de Anarres, 2014.</w:t>
      </w:r>
    </w:p>
    <w:p w14:paraId="6726989C" w14:textId="77777777" w:rsidR="001F6577" w:rsidRPr="009034E2" w:rsidRDefault="001F6577" w:rsidP="00304668">
      <w:pPr>
        <w:pStyle w:val="PargrafodaLista"/>
        <w:spacing w:after="0" w:line="240" w:lineRule="auto"/>
        <w:ind w:left="-142"/>
        <w:rPr>
          <w:rFonts w:ascii="Times New Roman" w:hAnsi="Times New Roman" w:cs="Times New Roman"/>
          <w:sz w:val="24"/>
          <w:szCs w:val="24"/>
        </w:rPr>
      </w:pPr>
    </w:p>
    <w:p w14:paraId="38BEAB8A" w14:textId="7B74DB1E" w:rsidR="00DD089F" w:rsidRPr="009034E2" w:rsidRDefault="00DD089F" w:rsidP="00304668">
      <w:pPr>
        <w:pStyle w:val="SemEspaamento"/>
        <w:numPr>
          <w:ilvl w:val="0"/>
          <w:numId w:val="16"/>
        </w:numPr>
        <w:ind w:left="-142" w:firstLine="0"/>
        <w:jc w:val="both"/>
        <w:rPr>
          <w:rFonts w:ascii="Times New Roman" w:hAnsi="Times New Roman" w:cs="Times New Roman"/>
          <w:sz w:val="24"/>
          <w:szCs w:val="24"/>
        </w:rPr>
      </w:pPr>
      <w:r w:rsidRPr="009034E2">
        <w:rPr>
          <w:rFonts w:ascii="Times New Roman" w:hAnsi="Times New Roman" w:cs="Times New Roman"/>
          <w:color w:val="000000" w:themeColor="text1"/>
          <w:sz w:val="24"/>
          <w:szCs w:val="24"/>
        </w:rPr>
        <w:t xml:space="preserve">KROPOTKIN, Piotr. </w:t>
      </w:r>
      <w:r w:rsidRPr="009034E2">
        <w:rPr>
          <w:rFonts w:ascii="Times New Roman" w:hAnsi="Times New Roman" w:cs="Times New Roman"/>
          <w:i/>
          <w:iCs/>
          <w:color w:val="000000" w:themeColor="text1"/>
          <w:sz w:val="24"/>
          <w:szCs w:val="24"/>
        </w:rPr>
        <w:t>Ajuda mútua</w:t>
      </w:r>
      <w:r w:rsidRPr="009034E2">
        <w:rPr>
          <w:rFonts w:ascii="Times New Roman" w:hAnsi="Times New Roman" w:cs="Times New Roman"/>
          <w:color w:val="000000" w:themeColor="text1"/>
          <w:sz w:val="24"/>
          <w:szCs w:val="24"/>
        </w:rPr>
        <w:t>: um fator de evolução. (Waldyr Azevedo Jr., trad.). São Sebastião : A Senhora Editora, 1902/2009. p. 271.</w:t>
      </w:r>
    </w:p>
    <w:p w14:paraId="22531197" w14:textId="77777777" w:rsidR="001F6577" w:rsidRPr="009034E2" w:rsidRDefault="001F6577" w:rsidP="00304668">
      <w:pPr>
        <w:pStyle w:val="PargrafodaLista"/>
        <w:spacing w:after="0" w:line="240" w:lineRule="auto"/>
        <w:ind w:left="-142"/>
        <w:rPr>
          <w:rFonts w:ascii="Times New Roman" w:hAnsi="Times New Roman" w:cs="Times New Roman"/>
          <w:sz w:val="24"/>
          <w:szCs w:val="24"/>
        </w:rPr>
      </w:pPr>
    </w:p>
    <w:p w14:paraId="05C78C3A" w14:textId="3BF2FD95"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lang w:val="en-US"/>
        </w:rPr>
      </w:pPr>
      <w:r w:rsidRPr="009034E2">
        <w:rPr>
          <w:rFonts w:ascii="Times New Roman" w:hAnsi="Times New Roman" w:cs="Times New Roman"/>
          <w:color w:val="000000" w:themeColor="text1"/>
          <w:sz w:val="24"/>
          <w:szCs w:val="24"/>
          <w:lang w:val="en-US"/>
        </w:rPr>
        <w:t xml:space="preserve">NEWMAN, Saul. Anarquismo e a política do ressentimento. </w:t>
      </w:r>
      <w:r w:rsidRPr="009034E2">
        <w:rPr>
          <w:rFonts w:ascii="Times New Roman" w:hAnsi="Times New Roman" w:cs="Times New Roman"/>
          <w:i/>
          <w:iCs/>
          <w:color w:val="000000" w:themeColor="text1"/>
          <w:sz w:val="24"/>
          <w:szCs w:val="24"/>
          <w:lang w:val="en-US"/>
        </w:rPr>
        <w:t>Verve</w:t>
      </w:r>
      <w:r w:rsidRPr="009034E2">
        <w:rPr>
          <w:rFonts w:ascii="Times New Roman" w:hAnsi="Times New Roman" w:cs="Times New Roman"/>
          <w:color w:val="000000" w:themeColor="text1"/>
          <w:sz w:val="24"/>
          <w:szCs w:val="24"/>
          <w:lang w:val="en-US"/>
        </w:rPr>
        <w:t xml:space="preserve">, v. 14, p. 145-178, 2000/2008. </w:t>
      </w:r>
    </w:p>
    <w:p w14:paraId="681F4670"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lang w:val="en-US"/>
        </w:rPr>
      </w:pPr>
    </w:p>
    <w:p w14:paraId="535B3E4C" w14:textId="48B96501"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lang w:val="en-US"/>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w:t>
      </w:r>
      <w:r w:rsidRPr="009034E2">
        <w:rPr>
          <w:rFonts w:ascii="Times New Roman" w:hAnsi="Times New Roman" w:cs="Times New Roman"/>
          <w:color w:val="000000" w:themeColor="text1"/>
          <w:sz w:val="24"/>
          <w:szCs w:val="24"/>
        </w:rPr>
        <w:t xml:space="preserve"> Guerra ao Estado: o anarquismo de Stirner e Deleuze. </w:t>
      </w:r>
      <w:r w:rsidRPr="009034E2">
        <w:rPr>
          <w:rFonts w:ascii="Times New Roman" w:hAnsi="Times New Roman" w:cs="Times New Roman"/>
          <w:i/>
          <w:iCs/>
          <w:color w:val="000000" w:themeColor="text1"/>
          <w:sz w:val="24"/>
          <w:szCs w:val="24"/>
          <w:lang w:val="en-US"/>
        </w:rPr>
        <w:t>Verve</w:t>
      </w:r>
      <w:r w:rsidRPr="009034E2">
        <w:rPr>
          <w:rFonts w:ascii="Times New Roman" w:hAnsi="Times New Roman" w:cs="Times New Roman"/>
          <w:color w:val="000000" w:themeColor="text1"/>
          <w:sz w:val="24"/>
          <w:szCs w:val="24"/>
          <w:lang w:val="en-US"/>
        </w:rPr>
        <w:t>, v. 8, p. 13-41, 2001/2005.</w:t>
      </w:r>
      <w:r w:rsidRPr="009034E2">
        <w:rPr>
          <w:rFonts w:ascii="Times New Roman" w:hAnsi="Times New Roman" w:cs="Times New Roman"/>
          <w:color w:val="000000" w:themeColor="text1"/>
          <w:sz w:val="24"/>
          <w:szCs w:val="24"/>
          <w:lang w:val="en-US"/>
        </w:rPr>
        <w:tab/>
      </w:r>
    </w:p>
    <w:p w14:paraId="32871733"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lang w:val="en-US"/>
        </w:rPr>
      </w:pPr>
    </w:p>
    <w:p w14:paraId="6E71D069" w14:textId="5E292C41"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Stirner and the Politics of the Ego. In: </w:t>
      </w: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w:t>
      </w:r>
      <w:r w:rsidRPr="009034E2">
        <w:rPr>
          <w:rFonts w:ascii="Times New Roman" w:hAnsi="Times New Roman" w:cs="Times New Roman"/>
          <w:i/>
          <w:iCs/>
          <w:color w:val="000000" w:themeColor="text1"/>
          <w:sz w:val="24"/>
          <w:szCs w:val="24"/>
          <w:lang w:val="en-US"/>
        </w:rPr>
        <w:t>From Bakunin to Lacan</w:t>
      </w:r>
      <w:r w:rsidRPr="009034E2">
        <w:rPr>
          <w:rFonts w:ascii="Times New Roman" w:hAnsi="Times New Roman" w:cs="Times New Roman"/>
          <w:color w:val="000000" w:themeColor="text1"/>
          <w:sz w:val="24"/>
          <w:szCs w:val="24"/>
          <w:lang w:val="en-US"/>
        </w:rPr>
        <w:t xml:space="preserve">: anti-authoritarianism and the dislocation of power. Maryland: Lexington Books, 2001a. p. 54-74. </w:t>
      </w:r>
    </w:p>
    <w:p w14:paraId="787D8D6A"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1F552E14" w14:textId="3273F0AE"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w:t>
      </w:r>
      <w:r w:rsidRPr="009034E2">
        <w:rPr>
          <w:rFonts w:ascii="Times New Roman" w:hAnsi="Times New Roman" w:cs="Times New Roman"/>
          <w:i/>
          <w:iCs/>
          <w:color w:val="000000" w:themeColor="text1"/>
          <w:sz w:val="24"/>
          <w:szCs w:val="24"/>
          <w:lang w:val="en-US"/>
        </w:rPr>
        <w:t>Spectres of Stirner</w:t>
      </w:r>
      <w:r w:rsidRPr="009034E2">
        <w:rPr>
          <w:rFonts w:ascii="Times New Roman" w:hAnsi="Times New Roman" w:cs="Times New Roman"/>
          <w:color w:val="000000" w:themeColor="text1"/>
          <w:sz w:val="24"/>
          <w:szCs w:val="24"/>
          <w:lang w:val="en-US"/>
        </w:rPr>
        <w:t xml:space="preserve">: a contemporary critique of ideology. 2001b. Disponível em: </w:t>
      </w:r>
      <w:hyperlink r:id="rId11">
        <w:r w:rsidRPr="009034E2">
          <w:rPr>
            <w:rStyle w:val="Hyperlink"/>
            <w:rFonts w:ascii="Times New Roman" w:eastAsia="Aptos" w:hAnsi="Times New Roman" w:cs="Times New Roman"/>
            <w:sz w:val="24"/>
            <w:szCs w:val="24"/>
            <w:lang w:val="en-US"/>
          </w:rPr>
          <w:t>https://theanarchistlibrary.org/library/saul-newman-spectres-of-stirner-contemporary-critique-of-idealogy</w:t>
        </w:r>
      </w:hyperlink>
      <w:r w:rsidRPr="009034E2">
        <w:rPr>
          <w:rFonts w:ascii="Times New Roman" w:hAnsi="Times New Roman" w:cs="Times New Roman"/>
          <w:color w:val="000000" w:themeColor="text1"/>
          <w:sz w:val="24"/>
          <w:szCs w:val="24"/>
          <w:lang w:val="en-US"/>
        </w:rPr>
        <w:t xml:space="preserve"> Acesso em 29/04/2025. </w:t>
      </w:r>
    </w:p>
    <w:p w14:paraId="04AF4C5D"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21D57854" w14:textId="0337FC44"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Max Stirner and the Politics of Posthumanism. </w:t>
      </w:r>
      <w:r w:rsidRPr="009034E2">
        <w:rPr>
          <w:rFonts w:ascii="Times New Roman" w:hAnsi="Times New Roman" w:cs="Times New Roman"/>
          <w:i/>
          <w:iCs/>
          <w:color w:val="000000" w:themeColor="text1"/>
          <w:sz w:val="24"/>
          <w:szCs w:val="24"/>
          <w:lang w:val="en-US"/>
        </w:rPr>
        <w:t>Contemporary Political Theory</w:t>
      </w:r>
      <w:r w:rsidRPr="009034E2">
        <w:rPr>
          <w:rFonts w:ascii="Times New Roman" w:hAnsi="Times New Roman" w:cs="Times New Roman"/>
          <w:color w:val="000000" w:themeColor="text1"/>
          <w:sz w:val="24"/>
          <w:szCs w:val="24"/>
          <w:lang w:val="en-US"/>
        </w:rPr>
        <w:t>, vol. 1, n. 2, p. 221-238, 2002a. DOI: 10.1057/palgrave.cpt.9300038</w:t>
      </w:r>
    </w:p>
    <w:p w14:paraId="3A346FC1"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1575F7CC" w14:textId="06DB9C44"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w:t>
      </w:r>
      <w:r w:rsidRPr="009034E2">
        <w:rPr>
          <w:rFonts w:ascii="Times New Roman" w:hAnsi="Times New Roman" w:cs="Times New Roman"/>
          <w:i/>
          <w:iCs/>
          <w:color w:val="000000" w:themeColor="text1"/>
          <w:sz w:val="24"/>
          <w:szCs w:val="24"/>
          <w:lang w:val="en-US"/>
        </w:rPr>
        <w:t>Politics of the ego</w:t>
      </w:r>
      <w:r w:rsidRPr="009034E2">
        <w:rPr>
          <w:rFonts w:ascii="Times New Roman" w:hAnsi="Times New Roman" w:cs="Times New Roman"/>
          <w:color w:val="000000" w:themeColor="text1"/>
          <w:sz w:val="24"/>
          <w:szCs w:val="24"/>
          <w:lang w:val="en-US"/>
        </w:rPr>
        <w:t xml:space="preserve">: Stirner’s critique of liberalism. 2002b. Disponível em: </w:t>
      </w:r>
      <w:hyperlink r:id="rId12" w:history="1">
        <w:r w:rsidRPr="009034E2">
          <w:rPr>
            <w:rStyle w:val="Hyperlink"/>
            <w:rFonts w:ascii="Times New Roman" w:hAnsi="Times New Roman" w:cs="Times New Roman"/>
            <w:sz w:val="24"/>
            <w:szCs w:val="24"/>
            <w:lang w:val="en-US"/>
          </w:rPr>
          <w:t>https://theanarchistlibrary.org/library/saul-newman-politics-of-the-ego-stirner-s-critique-of-liberalism</w:t>
        </w:r>
      </w:hyperlink>
      <w:r w:rsidRPr="009034E2">
        <w:rPr>
          <w:rFonts w:ascii="Times New Roman" w:hAnsi="Times New Roman" w:cs="Times New Roman"/>
          <w:color w:val="000000" w:themeColor="text1"/>
          <w:sz w:val="24"/>
          <w:szCs w:val="24"/>
          <w:lang w:val="en-US"/>
        </w:rPr>
        <w:t xml:space="preserve">  Acesso em 29/04/2025.</w:t>
      </w:r>
    </w:p>
    <w:p w14:paraId="3EC7FE0D"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69B0194F" w14:textId="297A6303"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w:t>
      </w:r>
      <w:r w:rsidRPr="009034E2">
        <w:rPr>
          <w:rFonts w:ascii="Times New Roman" w:hAnsi="Times New Roman" w:cs="Times New Roman"/>
          <w:color w:val="000000" w:themeColor="text1"/>
          <w:sz w:val="24"/>
          <w:szCs w:val="24"/>
        </w:rPr>
        <w:t xml:space="preserve"> </w:t>
      </w:r>
      <w:r w:rsidRPr="009034E2">
        <w:rPr>
          <w:rFonts w:ascii="Times New Roman" w:hAnsi="Times New Roman" w:cs="Times New Roman"/>
          <w:i/>
          <w:iCs/>
          <w:color w:val="000000" w:themeColor="text1"/>
          <w:sz w:val="24"/>
          <w:szCs w:val="24"/>
        </w:rPr>
        <w:t>Stirner and Foucault</w:t>
      </w:r>
      <w:r w:rsidRPr="009034E2">
        <w:rPr>
          <w:rFonts w:ascii="Times New Roman" w:hAnsi="Times New Roman" w:cs="Times New Roman"/>
          <w:color w:val="000000" w:themeColor="text1"/>
          <w:sz w:val="24"/>
          <w:szCs w:val="24"/>
        </w:rPr>
        <w:t xml:space="preserve">: toward a post-kantian freedom. 2003a. </w:t>
      </w:r>
      <w:r w:rsidRPr="009034E2">
        <w:rPr>
          <w:rFonts w:ascii="Times New Roman" w:hAnsi="Times New Roman" w:cs="Times New Roman"/>
          <w:color w:val="000000" w:themeColor="text1"/>
          <w:sz w:val="24"/>
          <w:szCs w:val="24"/>
          <w:lang w:val="en-US"/>
        </w:rPr>
        <w:t>Disponível em:</w:t>
      </w:r>
      <w:r w:rsidRPr="009034E2">
        <w:rPr>
          <w:rFonts w:ascii="Times New Roman" w:hAnsi="Times New Roman" w:cs="Times New Roman"/>
          <w:color w:val="000000" w:themeColor="text1"/>
          <w:sz w:val="24"/>
          <w:szCs w:val="24"/>
        </w:rPr>
        <w:t xml:space="preserve"> </w:t>
      </w:r>
      <w:hyperlink r:id="rId13" w:history="1">
        <w:r w:rsidR="001F6577" w:rsidRPr="009034E2">
          <w:rPr>
            <w:rStyle w:val="Hyperlink"/>
            <w:rFonts w:ascii="Times New Roman" w:eastAsia="Aptos" w:hAnsi="Times New Roman" w:cs="Times New Roman"/>
            <w:sz w:val="24"/>
            <w:szCs w:val="24"/>
          </w:rPr>
          <w:t>https://theanarchistlibrary.org/library/saul-newman-stirner-and-foucault-toward-a-post-kantian-freedom</w:t>
        </w:r>
        <w:r w:rsidR="001F6577" w:rsidRPr="009034E2">
          <w:rPr>
            <w:rStyle w:val="Hyperlink"/>
            <w:rFonts w:ascii="Times New Roman" w:hAnsi="Times New Roman" w:cs="Times New Roman"/>
            <w:sz w:val="24"/>
            <w:szCs w:val="24"/>
            <w:lang w:val="en-US"/>
          </w:rPr>
          <w:t xml:space="preserve"> Acesso em 29/04/2025</w:t>
        </w:r>
      </w:hyperlink>
      <w:r w:rsidRPr="009034E2">
        <w:rPr>
          <w:rFonts w:ascii="Times New Roman" w:hAnsi="Times New Roman" w:cs="Times New Roman"/>
          <w:color w:val="000000" w:themeColor="text1"/>
          <w:sz w:val="24"/>
          <w:szCs w:val="24"/>
          <w:lang w:val="en-US"/>
        </w:rPr>
        <w:t>.</w:t>
      </w:r>
    </w:p>
    <w:p w14:paraId="573528BB"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23C7E17D" w14:textId="1FD4230F"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w:t>
      </w:r>
      <w:r w:rsidRPr="009034E2">
        <w:rPr>
          <w:rFonts w:ascii="Times New Roman" w:hAnsi="Times New Roman" w:cs="Times New Roman"/>
          <w:i/>
          <w:iCs/>
          <w:color w:val="000000" w:themeColor="text1"/>
          <w:sz w:val="24"/>
          <w:szCs w:val="24"/>
          <w:lang w:val="en-US"/>
        </w:rPr>
        <w:t>Empiricism, Pluralism and Politics in Deleuze and Stirner</w:t>
      </w:r>
      <w:r w:rsidRPr="009034E2">
        <w:rPr>
          <w:rFonts w:ascii="Times New Roman" w:hAnsi="Times New Roman" w:cs="Times New Roman"/>
          <w:color w:val="000000" w:themeColor="text1"/>
          <w:sz w:val="24"/>
          <w:szCs w:val="24"/>
          <w:lang w:val="en-US"/>
        </w:rPr>
        <w:t xml:space="preserve">. 2003b. Disponível em: </w:t>
      </w:r>
      <w:hyperlink r:id="rId14">
        <w:r w:rsidRPr="009034E2">
          <w:rPr>
            <w:rStyle w:val="Hyperlink"/>
            <w:rFonts w:ascii="Times New Roman" w:eastAsia="Aptos" w:hAnsi="Times New Roman" w:cs="Times New Roman"/>
            <w:sz w:val="24"/>
            <w:szCs w:val="24"/>
            <w:lang w:val="en-US"/>
          </w:rPr>
          <w:t>https://theanarchistlibrary.org/library/saul-newman-empiricism-pluralism-politics-deleuze-and-stirner</w:t>
        </w:r>
      </w:hyperlink>
      <w:r w:rsidRPr="009034E2">
        <w:rPr>
          <w:rFonts w:ascii="Times New Roman" w:hAnsi="Times New Roman" w:cs="Times New Roman"/>
          <w:color w:val="000000" w:themeColor="text1"/>
          <w:sz w:val="24"/>
          <w:szCs w:val="24"/>
          <w:lang w:val="en-US"/>
        </w:rPr>
        <w:t xml:space="preserve">  Acesso em 06/05/2025.</w:t>
      </w:r>
    </w:p>
    <w:p w14:paraId="6371926B"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46224091" w14:textId="6684DF50"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lang w:val="en-US"/>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w:t>
      </w:r>
      <w:r w:rsidRPr="009034E2">
        <w:rPr>
          <w:rFonts w:ascii="Times New Roman" w:hAnsi="Times New Roman" w:cs="Times New Roman"/>
          <w:i/>
          <w:iCs/>
          <w:color w:val="000000" w:themeColor="text1"/>
          <w:sz w:val="24"/>
          <w:szCs w:val="24"/>
          <w:lang w:val="en-US"/>
        </w:rPr>
        <w:t>Spectres of freedom in Stirner and Foucault</w:t>
      </w:r>
      <w:r w:rsidRPr="009034E2">
        <w:rPr>
          <w:rFonts w:ascii="Times New Roman" w:hAnsi="Times New Roman" w:cs="Times New Roman"/>
          <w:color w:val="000000" w:themeColor="text1"/>
          <w:sz w:val="24"/>
          <w:szCs w:val="24"/>
          <w:lang w:val="en-US"/>
        </w:rPr>
        <w:t xml:space="preserve">: a response to “Solitude and freedom”.  2004. Disponível em: </w:t>
      </w:r>
      <w:hyperlink r:id="rId15" w:history="1">
        <w:r w:rsidRPr="009034E2">
          <w:rPr>
            <w:rStyle w:val="Hyperlink"/>
            <w:rFonts w:ascii="Times New Roman" w:hAnsi="Times New Roman" w:cs="Times New Roman"/>
            <w:sz w:val="24"/>
            <w:szCs w:val="24"/>
            <w:lang w:val="en-US"/>
          </w:rPr>
          <w:t>https://theanarchistlibrary.org/library/saul-newman-spectres-of-freedom-in-stirner-foucault-response-solitude-freedom</w:t>
        </w:r>
      </w:hyperlink>
      <w:r w:rsidRPr="009034E2">
        <w:rPr>
          <w:rFonts w:ascii="Times New Roman" w:hAnsi="Times New Roman" w:cs="Times New Roman"/>
          <w:color w:val="000000" w:themeColor="text1"/>
          <w:sz w:val="24"/>
          <w:szCs w:val="24"/>
          <w:lang w:val="en-US"/>
        </w:rPr>
        <w:t xml:space="preserve">  Acesso em 29/04/2025.</w:t>
      </w:r>
    </w:p>
    <w:p w14:paraId="1B486095"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lang w:val="en-US"/>
        </w:rPr>
      </w:pPr>
    </w:p>
    <w:p w14:paraId="0B194499" w14:textId="5D0BAFB9" w:rsidR="001F6577"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lang w:val="en-US"/>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As políticas do pós-anarquismo. </w:t>
      </w:r>
      <w:r w:rsidRPr="009034E2">
        <w:rPr>
          <w:rFonts w:ascii="Times New Roman" w:hAnsi="Times New Roman" w:cs="Times New Roman"/>
          <w:i/>
          <w:iCs/>
          <w:color w:val="000000" w:themeColor="text1"/>
          <w:sz w:val="24"/>
          <w:szCs w:val="24"/>
          <w:lang w:val="en-US"/>
        </w:rPr>
        <w:t>Verve</w:t>
      </w:r>
      <w:r w:rsidRPr="009034E2">
        <w:rPr>
          <w:rFonts w:ascii="Times New Roman" w:hAnsi="Times New Roman" w:cs="Times New Roman"/>
          <w:color w:val="000000" w:themeColor="text1"/>
          <w:sz w:val="24"/>
          <w:szCs w:val="24"/>
          <w:lang w:val="en-US"/>
        </w:rPr>
        <w:t xml:space="preserve">, São Paulo, v. 9, p. 30-50, 2006. </w:t>
      </w:r>
    </w:p>
    <w:p w14:paraId="4144C645"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lang w:val="en-US"/>
        </w:rPr>
      </w:pPr>
    </w:p>
    <w:p w14:paraId="3256C2EE" w14:textId="6020AC84"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rPr>
        <w:t xml:space="preserve">. Pós anarquismo e política radical hoje. </w:t>
      </w:r>
      <w:r w:rsidRPr="009034E2">
        <w:rPr>
          <w:rFonts w:ascii="Times New Roman" w:hAnsi="Times New Roman" w:cs="Times New Roman"/>
          <w:i/>
          <w:iCs/>
          <w:color w:val="000000" w:themeColor="text1"/>
          <w:sz w:val="24"/>
          <w:szCs w:val="24"/>
        </w:rPr>
        <w:t>(des)troços:</w:t>
      </w:r>
      <w:r w:rsidRPr="009034E2">
        <w:rPr>
          <w:rFonts w:ascii="Times New Roman" w:hAnsi="Times New Roman" w:cs="Times New Roman"/>
          <w:color w:val="000000" w:themeColor="text1"/>
          <w:sz w:val="24"/>
          <w:szCs w:val="24"/>
        </w:rPr>
        <w:t xml:space="preserve"> revista de pensamento radical, Belo Horizonte, v. 4, n. 1, p. e47903, jan./jun. 2011/2023.</w:t>
      </w:r>
    </w:p>
    <w:p w14:paraId="3F5FEEF0"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4580E6FF" w14:textId="6176E355"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w:t>
      </w:r>
      <w:r w:rsidRPr="009034E2">
        <w:rPr>
          <w:rFonts w:ascii="Times New Roman" w:hAnsi="Times New Roman" w:cs="Times New Roman"/>
          <w:i/>
          <w:iCs/>
          <w:color w:val="000000" w:themeColor="text1"/>
          <w:sz w:val="24"/>
          <w:szCs w:val="24"/>
          <w:lang w:val="en-US"/>
        </w:rPr>
        <w:t>The politics of Postanarchism</w:t>
      </w:r>
      <w:r w:rsidRPr="009034E2">
        <w:rPr>
          <w:rFonts w:ascii="Times New Roman" w:hAnsi="Times New Roman" w:cs="Times New Roman"/>
          <w:b/>
          <w:bCs/>
          <w:color w:val="000000" w:themeColor="text1"/>
          <w:sz w:val="24"/>
          <w:szCs w:val="24"/>
          <w:lang w:val="en-US"/>
        </w:rPr>
        <w:t>.</w:t>
      </w:r>
      <w:r w:rsidRPr="009034E2">
        <w:rPr>
          <w:rFonts w:ascii="Times New Roman" w:hAnsi="Times New Roman" w:cs="Times New Roman"/>
          <w:color w:val="000000" w:themeColor="text1"/>
          <w:sz w:val="24"/>
          <w:szCs w:val="24"/>
          <w:lang w:val="en-US"/>
        </w:rPr>
        <w:t xml:space="preserve">  Escócia: Edinburgh University Press, 2010.</w:t>
      </w:r>
    </w:p>
    <w:p w14:paraId="6867E05C"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7D2AA9DD" w14:textId="40CE07F3"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Introduction: Re- encountering Stirner’s Ghosts. In: NEWMAN, Saul (ed.) </w:t>
      </w:r>
      <w:r w:rsidRPr="009034E2">
        <w:rPr>
          <w:rFonts w:ascii="Times New Roman" w:hAnsi="Times New Roman" w:cs="Times New Roman"/>
          <w:i/>
          <w:iCs/>
          <w:color w:val="000000" w:themeColor="text1"/>
          <w:sz w:val="24"/>
          <w:szCs w:val="24"/>
          <w:lang w:val="en-US"/>
        </w:rPr>
        <w:t>Max Stirner</w:t>
      </w:r>
      <w:r w:rsidRPr="009034E2">
        <w:rPr>
          <w:rFonts w:ascii="Times New Roman" w:hAnsi="Times New Roman" w:cs="Times New Roman"/>
          <w:color w:val="000000" w:themeColor="text1"/>
          <w:sz w:val="24"/>
          <w:szCs w:val="24"/>
          <w:lang w:val="en-US"/>
        </w:rPr>
        <w:t>. Nova Iorque: Palgrave Macmillan, 2011a. p. 01-18.</w:t>
      </w:r>
    </w:p>
    <w:p w14:paraId="00F22F9A"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68C36C55" w14:textId="2E274657"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w:t>
      </w:r>
      <w:r w:rsidRPr="009034E2">
        <w:rPr>
          <w:rFonts w:ascii="Times New Roman" w:hAnsi="Times New Roman" w:cs="Times New Roman"/>
          <w:color w:val="000000" w:themeColor="text1"/>
          <w:sz w:val="24"/>
          <w:szCs w:val="24"/>
        </w:rPr>
        <w:t>Stirner’s ethics of voluntary inservitude</w:t>
      </w:r>
      <w:r w:rsidRPr="009034E2">
        <w:rPr>
          <w:rFonts w:ascii="Times New Roman" w:hAnsi="Times New Roman" w:cs="Times New Roman"/>
          <w:color w:val="000000" w:themeColor="text1"/>
          <w:sz w:val="24"/>
          <w:szCs w:val="24"/>
          <w:lang w:val="en-US"/>
        </w:rPr>
        <w:t xml:space="preserve">. In: NEWMAN, Saul (ed.) </w:t>
      </w:r>
      <w:r w:rsidRPr="009034E2">
        <w:rPr>
          <w:rFonts w:ascii="Times New Roman" w:hAnsi="Times New Roman" w:cs="Times New Roman"/>
          <w:i/>
          <w:iCs/>
          <w:color w:val="000000" w:themeColor="text1"/>
          <w:sz w:val="24"/>
          <w:szCs w:val="24"/>
          <w:lang w:val="en-US"/>
        </w:rPr>
        <w:t>Max Stirner</w:t>
      </w:r>
      <w:r w:rsidRPr="009034E2">
        <w:rPr>
          <w:rFonts w:ascii="Times New Roman" w:hAnsi="Times New Roman" w:cs="Times New Roman"/>
          <w:color w:val="000000" w:themeColor="text1"/>
          <w:sz w:val="24"/>
          <w:szCs w:val="24"/>
          <w:lang w:val="en-US"/>
        </w:rPr>
        <w:t xml:space="preserve">. Nova Iorque: Palgrave Macmillan, 2011b. p. 189-209. </w:t>
      </w:r>
      <w:r w:rsidRPr="009034E2">
        <w:rPr>
          <w:rFonts w:ascii="Times New Roman" w:hAnsi="Times New Roman" w:cs="Times New Roman"/>
          <w:color w:val="000000" w:themeColor="text1"/>
          <w:sz w:val="24"/>
          <w:szCs w:val="24"/>
        </w:rPr>
        <w:t xml:space="preserve"> </w:t>
      </w:r>
    </w:p>
    <w:p w14:paraId="3D2C1D15"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2C1FEC32" w14:textId="6772C6AC"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w:t>
      </w:r>
      <w:r w:rsidRPr="009034E2">
        <w:rPr>
          <w:rFonts w:ascii="Times New Roman" w:hAnsi="Times New Roman" w:cs="Times New Roman"/>
          <w:color w:val="000000" w:themeColor="text1"/>
          <w:sz w:val="24"/>
          <w:szCs w:val="24"/>
          <w:lang w:val="en-US"/>
        </w:rPr>
        <w:t xml:space="preserve">. What is an Insurrection? Destituent power and ontological anarchy in Agamben and Stirner. </w:t>
      </w:r>
      <w:r w:rsidRPr="009034E2">
        <w:rPr>
          <w:rFonts w:ascii="Times New Roman" w:hAnsi="Times New Roman" w:cs="Times New Roman"/>
          <w:i/>
          <w:iCs/>
          <w:color w:val="000000" w:themeColor="text1"/>
          <w:sz w:val="24"/>
          <w:szCs w:val="24"/>
        </w:rPr>
        <w:t>Political Studies</w:t>
      </w:r>
      <w:r w:rsidRPr="009034E2">
        <w:rPr>
          <w:rFonts w:ascii="Times New Roman" w:hAnsi="Times New Roman" w:cs="Times New Roman"/>
          <w:color w:val="000000" w:themeColor="text1"/>
          <w:sz w:val="24"/>
          <w:szCs w:val="24"/>
        </w:rPr>
        <w:t xml:space="preserve">, v. 65, n. 2, pp. 01-29, 2017. Disponível em: </w:t>
      </w:r>
      <w:hyperlink r:id="rId16" w:history="1">
        <w:r w:rsidRPr="009034E2">
          <w:rPr>
            <w:rStyle w:val="Hyperlink"/>
            <w:rFonts w:ascii="Times New Roman" w:hAnsi="Times New Roman" w:cs="Times New Roman"/>
            <w:sz w:val="24"/>
            <w:szCs w:val="24"/>
          </w:rPr>
          <w:t>https://journals.sagepub.com/doi/abs/10.1177/0032321716654498</w:t>
        </w:r>
      </w:hyperlink>
      <w:r w:rsidRPr="009034E2">
        <w:rPr>
          <w:rFonts w:ascii="Times New Roman" w:hAnsi="Times New Roman" w:cs="Times New Roman"/>
          <w:color w:val="000000" w:themeColor="text1"/>
          <w:sz w:val="24"/>
          <w:szCs w:val="24"/>
        </w:rPr>
        <w:t xml:space="preserve">  Acesso em 24/05/2025.</w:t>
      </w:r>
    </w:p>
    <w:p w14:paraId="649147C9" w14:textId="77777777" w:rsidR="001F6577" w:rsidRPr="009034E2" w:rsidRDefault="001F6577" w:rsidP="00304668">
      <w:pPr>
        <w:pStyle w:val="PargrafodaLista"/>
        <w:spacing w:after="0" w:line="240" w:lineRule="auto"/>
        <w:ind w:left="-142"/>
        <w:rPr>
          <w:rFonts w:ascii="Times New Roman" w:hAnsi="Times New Roman" w:cs="Times New Roman"/>
          <w:color w:val="000000" w:themeColor="text1"/>
          <w:sz w:val="24"/>
          <w:szCs w:val="24"/>
        </w:rPr>
      </w:pPr>
    </w:p>
    <w:p w14:paraId="5FB5028B" w14:textId="5D4215F6" w:rsidR="00DD089F"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w:t>
      </w:r>
      <w:r w:rsidRPr="009034E2">
        <w:rPr>
          <w:rFonts w:ascii="Times New Roman" w:hAnsi="Times New Roman" w:cs="Times New Roman"/>
          <w:color w:val="000000" w:themeColor="text1"/>
          <w:sz w:val="24"/>
          <w:szCs w:val="24"/>
        </w:rPr>
        <w:t xml:space="preserve">‘Ownness created a new freedom’: Max Stirner’s alternative concept of liberty. </w:t>
      </w:r>
      <w:r w:rsidRPr="009034E2">
        <w:rPr>
          <w:rFonts w:ascii="Times New Roman" w:hAnsi="Times New Roman" w:cs="Times New Roman"/>
          <w:i/>
          <w:iCs/>
          <w:color w:val="000000" w:themeColor="text1"/>
          <w:sz w:val="24"/>
          <w:szCs w:val="24"/>
        </w:rPr>
        <w:t>Critical Review of International Social and Political Philosophy</w:t>
      </w:r>
      <w:r w:rsidRPr="009034E2">
        <w:rPr>
          <w:rFonts w:ascii="Times New Roman" w:hAnsi="Times New Roman" w:cs="Times New Roman"/>
          <w:color w:val="000000" w:themeColor="text1"/>
          <w:sz w:val="24"/>
          <w:szCs w:val="24"/>
        </w:rPr>
        <w:t>, vol. 22, n. 2, p. 155-175, 2019a. DOI: 10.1080/13698230.2017.128280</w:t>
      </w:r>
      <w:r w:rsidR="00E71487">
        <w:rPr>
          <w:rFonts w:ascii="Times New Roman" w:hAnsi="Times New Roman" w:cs="Times New Roman"/>
          <w:color w:val="000000" w:themeColor="text1"/>
          <w:sz w:val="24"/>
          <w:szCs w:val="24"/>
        </w:rPr>
        <w:t>.</w:t>
      </w:r>
    </w:p>
    <w:p w14:paraId="68A12997" w14:textId="77777777" w:rsidR="00E71487" w:rsidRDefault="00E71487" w:rsidP="00304668">
      <w:pPr>
        <w:pStyle w:val="PargrafodaLista"/>
        <w:spacing w:after="0" w:line="240" w:lineRule="auto"/>
        <w:rPr>
          <w:rFonts w:ascii="Times New Roman" w:hAnsi="Times New Roman" w:cs="Times New Roman"/>
          <w:color w:val="000000" w:themeColor="text1"/>
          <w:sz w:val="24"/>
          <w:szCs w:val="24"/>
        </w:rPr>
      </w:pPr>
    </w:p>
    <w:p w14:paraId="3E2F7A2B" w14:textId="1CF4B68F" w:rsidR="00DD089F" w:rsidRPr="00E71487"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Postanarchism today: anarchism and political theory. In: LEVY, Carl; NEWMAN, Saul (orgs.)  </w:t>
      </w:r>
      <w:r w:rsidRPr="009034E2">
        <w:rPr>
          <w:rFonts w:ascii="Times New Roman" w:hAnsi="Times New Roman" w:cs="Times New Roman"/>
          <w:i/>
          <w:iCs/>
          <w:color w:val="000000" w:themeColor="text1"/>
          <w:sz w:val="24"/>
          <w:szCs w:val="24"/>
          <w:lang w:val="en-US"/>
        </w:rPr>
        <w:t>The anarchist imagination:</w:t>
      </w:r>
      <w:r w:rsidRPr="009034E2">
        <w:rPr>
          <w:rFonts w:ascii="Times New Roman" w:hAnsi="Times New Roman" w:cs="Times New Roman"/>
          <w:color w:val="000000" w:themeColor="text1"/>
          <w:sz w:val="24"/>
          <w:szCs w:val="24"/>
          <w:lang w:val="en-US"/>
        </w:rPr>
        <w:t xml:space="preserve">  anarchisms encounters the humanities and social sciences.  London/New York: Routledge,  2019b.  p. 81-94.</w:t>
      </w:r>
    </w:p>
    <w:p w14:paraId="694C8F11" w14:textId="77777777" w:rsidR="00E71487" w:rsidRDefault="00E71487" w:rsidP="00304668">
      <w:pPr>
        <w:pStyle w:val="PargrafodaLista"/>
        <w:spacing w:after="0" w:line="240" w:lineRule="auto"/>
        <w:rPr>
          <w:rFonts w:ascii="Times New Roman" w:hAnsi="Times New Roman" w:cs="Times New Roman"/>
          <w:color w:val="000000" w:themeColor="text1"/>
          <w:sz w:val="24"/>
          <w:szCs w:val="24"/>
        </w:rPr>
      </w:pPr>
    </w:p>
    <w:p w14:paraId="3E6E9E23" w14:textId="60577979"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Contagious Politics: Posthuman anarchism. In: NEWMAN, Saul; TOPUZOVSKI, Tihomir Topuzovski (eds.) </w:t>
      </w:r>
      <w:r w:rsidRPr="009034E2">
        <w:rPr>
          <w:rFonts w:ascii="Times New Roman" w:hAnsi="Times New Roman" w:cs="Times New Roman"/>
          <w:i/>
          <w:iCs/>
          <w:color w:val="000000" w:themeColor="text1"/>
          <w:sz w:val="24"/>
          <w:szCs w:val="24"/>
          <w:lang w:val="en-US"/>
        </w:rPr>
        <w:t>The Posthuman Pandemic</w:t>
      </w:r>
      <w:r w:rsidRPr="009034E2">
        <w:rPr>
          <w:rFonts w:ascii="Times New Roman" w:hAnsi="Times New Roman" w:cs="Times New Roman"/>
          <w:color w:val="000000" w:themeColor="text1"/>
          <w:sz w:val="24"/>
          <w:szCs w:val="24"/>
          <w:lang w:val="en-US"/>
        </w:rPr>
        <w:t xml:space="preserve">. London: Bloomsbury Academic, 2021. p. 01-20. Disponível em: </w:t>
      </w:r>
      <w:hyperlink r:id="rId17" w:history="1">
        <w:r w:rsidRPr="009034E2">
          <w:rPr>
            <w:rStyle w:val="Hyperlink"/>
            <w:rFonts w:ascii="Times New Roman" w:eastAsia="Aptos" w:hAnsi="Times New Roman" w:cs="Times New Roman"/>
            <w:sz w:val="24"/>
            <w:szCs w:val="24"/>
            <w:lang w:val="en-US"/>
          </w:rPr>
          <w:t>https://research.gold.ac.uk/id/eprint/30080/3/Newman,%20S.%20(2021)%20Contagious%20Politics.%20Posthuman%20anarchism.pdf</w:t>
        </w:r>
      </w:hyperlink>
      <w:r w:rsidRPr="009034E2">
        <w:rPr>
          <w:rFonts w:ascii="Times New Roman" w:hAnsi="Times New Roman" w:cs="Times New Roman"/>
          <w:color w:val="000000" w:themeColor="text1"/>
          <w:sz w:val="24"/>
          <w:szCs w:val="24"/>
          <w:lang w:val="en-US"/>
        </w:rPr>
        <w:t xml:space="preserve">  Acesso em 04/05/2025.</w:t>
      </w:r>
    </w:p>
    <w:p w14:paraId="10E21A91" w14:textId="77777777" w:rsidR="004C696D" w:rsidRPr="009034E2" w:rsidRDefault="004C696D" w:rsidP="00304668">
      <w:pPr>
        <w:pStyle w:val="PargrafodaLista"/>
        <w:spacing w:after="0" w:line="240" w:lineRule="auto"/>
        <w:ind w:left="-142"/>
        <w:rPr>
          <w:rFonts w:ascii="Times New Roman" w:hAnsi="Times New Roman" w:cs="Times New Roman"/>
          <w:color w:val="000000" w:themeColor="text1"/>
          <w:sz w:val="24"/>
          <w:szCs w:val="24"/>
        </w:rPr>
      </w:pPr>
    </w:p>
    <w:p w14:paraId="34B56860" w14:textId="73CA0632" w:rsidR="00DD089F" w:rsidRPr="009034E2" w:rsidRDefault="00DD089F" w:rsidP="00304668">
      <w:pPr>
        <w:pStyle w:val="SemEspaamento"/>
        <w:numPr>
          <w:ilvl w:val="0"/>
          <w:numId w:val="16"/>
        </w:numPr>
        <w:ind w:left="-142" w:firstLine="0"/>
        <w:jc w:val="both"/>
        <w:rPr>
          <w:rFonts w:ascii="Times New Roman" w:hAnsi="Times New Roman" w:cs="Times New Roman"/>
          <w:color w:val="000000" w:themeColor="text1"/>
          <w:sz w:val="24"/>
          <w:szCs w:val="24"/>
        </w:rPr>
      </w:pPr>
      <w:r w:rsidRPr="009034E2">
        <w:rPr>
          <w:rFonts w:ascii="Times New Roman" w:hAnsi="Times New Roman" w:cs="Times New Roman"/>
          <w:sz w:val="24"/>
          <w:szCs w:val="24"/>
        </w:rPr>
        <w:t>______</w:t>
      </w:r>
      <w:r w:rsidRPr="009034E2">
        <w:rPr>
          <w:rFonts w:ascii="Times New Roman" w:hAnsi="Times New Roman" w:cs="Times New Roman"/>
          <w:color w:val="000000" w:themeColor="text1"/>
          <w:sz w:val="24"/>
          <w:szCs w:val="24"/>
          <w:lang w:val="en-US"/>
        </w:rPr>
        <w:t xml:space="preserve">. </w:t>
      </w:r>
      <w:r w:rsidRPr="009034E2">
        <w:rPr>
          <w:rFonts w:ascii="Times New Roman" w:hAnsi="Times New Roman" w:cs="Times New Roman"/>
          <w:i/>
          <w:iCs/>
          <w:color w:val="000000" w:themeColor="text1"/>
          <w:sz w:val="24"/>
          <w:szCs w:val="24"/>
          <w:lang w:val="en-US"/>
        </w:rPr>
        <w:t>Insurrection or Revolution?</w:t>
      </w:r>
      <w:r w:rsidRPr="009034E2">
        <w:rPr>
          <w:rFonts w:ascii="Times New Roman" w:hAnsi="Times New Roman" w:cs="Times New Roman"/>
          <w:b/>
          <w:bCs/>
          <w:color w:val="000000" w:themeColor="text1"/>
          <w:sz w:val="24"/>
          <w:szCs w:val="24"/>
          <w:lang w:val="en-US"/>
        </w:rPr>
        <w:t xml:space="preserve"> </w:t>
      </w:r>
      <w:r w:rsidRPr="009034E2">
        <w:rPr>
          <w:rFonts w:ascii="Times New Roman" w:hAnsi="Times New Roman" w:cs="Times New Roman"/>
          <w:color w:val="000000" w:themeColor="text1"/>
          <w:sz w:val="24"/>
          <w:szCs w:val="24"/>
          <w:lang w:val="en-US"/>
        </w:rPr>
        <w:t xml:space="preserve">The ethical politics of Stirner’s egoism. 2022. Disponível em: </w:t>
      </w:r>
      <w:hyperlink r:id="rId18" w:history="1">
        <w:r w:rsidRPr="009034E2">
          <w:rPr>
            <w:rStyle w:val="Hyperlink"/>
            <w:rFonts w:ascii="Times New Roman" w:hAnsi="Times New Roman" w:cs="Times New Roman"/>
            <w:sz w:val="24"/>
            <w:szCs w:val="24"/>
            <w:lang w:val="en-US"/>
          </w:rPr>
          <w:t>https://theanarchistlibrary.org/library/saul-newman-insurrection-or-revolution</w:t>
        </w:r>
      </w:hyperlink>
      <w:r w:rsidRPr="009034E2">
        <w:rPr>
          <w:rFonts w:ascii="Times New Roman" w:hAnsi="Times New Roman" w:cs="Times New Roman"/>
          <w:color w:val="000000" w:themeColor="text1"/>
          <w:sz w:val="24"/>
          <w:szCs w:val="24"/>
          <w:lang w:val="en-US"/>
        </w:rPr>
        <w:t xml:space="preserve">    Acesso em 29/04/2025.</w:t>
      </w:r>
    </w:p>
    <w:p w14:paraId="05BDAA5E" w14:textId="77777777" w:rsidR="004C696D" w:rsidRPr="009034E2" w:rsidRDefault="004C696D" w:rsidP="00304668">
      <w:pPr>
        <w:pStyle w:val="PargrafodaLista"/>
        <w:spacing w:after="0" w:line="240" w:lineRule="auto"/>
        <w:ind w:left="-142"/>
        <w:rPr>
          <w:rFonts w:ascii="Times New Roman" w:hAnsi="Times New Roman" w:cs="Times New Roman"/>
          <w:color w:val="000000" w:themeColor="text1"/>
          <w:sz w:val="24"/>
          <w:szCs w:val="24"/>
        </w:rPr>
      </w:pPr>
    </w:p>
    <w:p w14:paraId="2E72058A" w14:textId="1FF91932" w:rsidR="00DD089F" w:rsidRPr="009034E2" w:rsidRDefault="00DD089F" w:rsidP="00304668">
      <w:pPr>
        <w:pStyle w:val="SemEspaamento"/>
        <w:numPr>
          <w:ilvl w:val="0"/>
          <w:numId w:val="16"/>
        </w:numPr>
        <w:ind w:left="-142" w:firstLine="0"/>
        <w:jc w:val="both"/>
        <w:rPr>
          <w:rFonts w:ascii="Times New Roman" w:hAnsi="Times New Roman" w:cs="Times New Roman"/>
          <w:sz w:val="24"/>
          <w:szCs w:val="24"/>
        </w:rPr>
      </w:pPr>
      <w:r w:rsidRPr="009034E2">
        <w:rPr>
          <w:rFonts w:ascii="Times New Roman" w:hAnsi="Times New Roman" w:cs="Times New Roman"/>
          <w:sz w:val="24"/>
          <w:szCs w:val="24"/>
        </w:rPr>
        <w:t xml:space="preserve">NOTO, Carolina de Souza. </w:t>
      </w:r>
      <w:r w:rsidRPr="009034E2">
        <w:rPr>
          <w:rFonts w:ascii="Times New Roman" w:hAnsi="Times New Roman" w:cs="Times New Roman"/>
          <w:i/>
          <w:iCs/>
          <w:sz w:val="24"/>
          <w:szCs w:val="24"/>
        </w:rPr>
        <w:t>A ontologia do sujeito em Michel Foucault</w:t>
      </w:r>
      <w:r w:rsidRPr="009034E2">
        <w:rPr>
          <w:rFonts w:ascii="Times New Roman" w:hAnsi="Times New Roman" w:cs="Times New Roman"/>
          <w:sz w:val="24"/>
          <w:szCs w:val="24"/>
        </w:rPr>
        <w:t>. Dissertação (Mestrado em Filosofia), Departamento de Filosofia da Faculdade de Filosofia, Letras e Ciências Humanas da Universidade de São Paulo, 2009.</w:t>
      </w:r>
    </w:p>
    <w:p w14:paraId="1C1AF89D" w14:textId="77777777" w:rsidR="004C696D" w:rsidRPr="009034E2" w:rsidRDefault="004C696D" w:rsidP="00304668">
      <w:pPr>
        <w:pStyle w:val="PargrafodaLista"/>
        <w:spacing w:after="0" w:line="240" w:lineRule="auto"/>
        <w:ind w:left="-142"/>
        <w:rPr>
          <w:rFonts w:ascii="Times New Roman" w:hAnsi="Times New Roman" w:cs="Times New Roman"/>
          <w:sz w:val="24"/>
          <w:szCs w:val="24"/>
        </w:rPr>
      </w:pPr>
    </w:p>
    <w:p w14:paraId="674B50BA" w14:textId="1DAF449B" w:rsidR="00DD089F" w:rsidRPr="009034E2" w:rsidRDefault="00DD089F" w:rsidP="00304668">
      <w:pPr>
        <w:pStyle w:val="SemEspaamento"/>
        <w:numPr>
          <w:ilvl w:val="0"/>
          <w:numId w:val="16"/>
        </w:numPr>
        <w:ind w:left="-142" w:firstLine="0"/>
        <w:jc w:val="both"/>
        <w:rPr>
          <w:rFonts w:ascii="Times New Roman" w:hAnsi="Times New Roman" w:cs="Times New Roman"/>
          <w:sz w:val="24"/>
          <w:szCs w:val="24"/>
        </w:rPr>
      </w:pPr>
      <w:r w:rsidRPr="009034E2">
        <w:rPr>
          <w:rFonts w:ascii="Times New Roman" w:hAnsi="Times New Roman" w:cs="Times New Roman"/>
          <w:color w:val="000000" w:themeColor="text1"/>
          <w:sz w:val="24"/>
          <w:szCs w:val="24"/>
        </w:rPr>
        <w:t xml:space="preserve">PROUDHON, Pierre-Joseph.  </w:t>
      </w:r>
      <w:r w:rsidRPr="009034E2">
        <w:rPr>
          <w:rFonts w:ascii="Times New Roman" w:hAnsi="Times New Roman" w:cs="Times New Roman"/>
          <w:i/>
          <w:iCs/>
          <w:color w:val="000000" w:themeColor="text1"/>
          <w:sz w:val="24"/>
          <w:szCs w:val="24"/>
        </w:rPr>
        <w:t>Qu’est-ce que la propriété?</w:t>
      </w:r>
      <w:r w:rsidRPr="009034E2">
        <w:rPr>
          <w:rFonts w:ascii="Times New Roman" w:hAnsi="Times New Roman" w:cs="Times New Roman"/>
          <w:color w:val="000000" w:themeColor="text1"/>
          <w:sz w:val="24"/>
          <w:szCs w:val="24"/>
        </w:rPr>
        <w:t xml:space="preserve"> ou recherches sur le principe du droit et du gouvernement.  Paris: Garnier Frères, 1840.</w:t>
      </w:r>
    </w:p>
    <w:p w14:paraId="3C2DCE14" w14:textId="77777777" w:rsidR="004C696D" w:rsidRPr="009034E2" w:rsidRDefault="004C696D" w:rsidP="00304668">
      <w:pPr>
        <w:pStyle w:val="PargrafodaLista"/>
        <w:spacing w:after="0" w:line="240" w:lineRule="auto"/>
        <w:ind w:left="-142"/>
        <w:rPr>
          <w:rFonts w:ascii="Times New Roman" w:hAnsi="Times New Roman" w:cs="Times New Roman"/>
          <w:sz w:val="24"/>
          <w:szCs w:val="24"/>
        </w:rPr>
      </w:pPr>
    </w:p>
    <w:p w14:paraId="4F64E85B" w14:textId="0844BCB1" w:rsidR="00DD089F" w:rsidRPr="009034E2" w:rsidRDefault="00DD089F" w:rsidP="00304668">
      <w:pPr>
        <w:pStyle w:val="SemEspaamento"/>
        <w:numPr>
          <w:ilvl w:val="0"/>
          <w:numId w:val="16"/>
        </w:numPr>
        <w:ind w:left="-142" w:firstLine="0"/>
        <w:jc w:val="both"/>
        <w:rPr>
          <w:rFonts w:ascii="Times New Roman" w:hAnsi="Times New Roman" w:cs="Times New Roman"/>
          <w:sz w:val="24"/>
          <w:szCs w:val="24"/>
        </w:rPr>
      </w:pPr>
      <w:r w:rsidRPr="009034E2">
        <w:rPr>
          <w:rFonts w:ascii="Times New Roman" w:eastAsia="Times New Roman" w:hAnsi="Times New Roman" w:cs="Times New Roman"/>
          <w:sz w:val="24"/>
          <w:szCs w:val="24"/>
          <w:lang w:val="en-US"/>
        </w:rPr>
        <w:t xml:space="preserve">SCHÜRMANN, Reiner. </w:t>
      </w:r>
      <w:r w:rsidRPr="009034E2">
        <w:rPr>
          <w:rFonts w:ascii="Times New Roman" w:eastAsia="Times New Roman" w:hAnsi="Times New Roman" w:cs="Times New Roman"/>
          <w:i/>
          <w:iCs/>
          <w:sz w:val="24"/>
          <w:szCs w:val="24"/>
          <w:lang w:val="en-US"/>
        </w:rPr>
        <w:t>Heidegger on being and acting</w:t>
      </w:r>
      <w:r w:rsidRPr="009034E2">
        <w:rPr>
          <w:rFonts w:ascii="Times New Roman" w:eastAsia="Times New Roman" w:hAnsi="Times New Roman" w:cs="Times New Roman"/>
          <w:sz w:val="24"/>
          <w:szCs w:val="24"/>
          <w:lang w:val="en-US"/>
        </w:rPr>
        <w:t xml:space="preserve">: from principles to anarchy. Bloomington: Indiana University Press, 1987. </w:t>
      </w:r>
    </w:p>
    <w:p w14:paraId="4D13E469" w14:textId="77777777" w:rsidR="004C696D" w:rsidRPr="009034E2" w:rsidRDefault="004C696D" w:rsidP="00304668">
      <w:pPr>
        <w:pStyle w:val="PargrafodaLista"/>
        <w:spacing w:after="0" w:line="240" w:lineRule="auto"/>
        <w:ind w:left="-142"/>
        <w:rPr>
          <w:rFonts w:ascii="Times New Roman" w:hAnsi="Times New Roman" w:cs="Times New Roman"/>
          <w:sz w:val="24"/>
          <w:szCs w:val="24"/>
        </w:rPr>
      </w:pPr>
    </w:p>
    <w:p w14:paraId="6D32BD67" w14:textId="3803DC73" w:rsidR="00DD089F" w:rsidRPr="009034E2" w:rsidRDefault="00DD089F" w:rsidP="00304668">
      <w:pPr>
        <w:pStyle w:val="SemEspaamento"/>
        <w:numPr>
          <w:ilvl w:val="0"/>
          <w:numId w:val="16"/>
        </w:numPr>
        <w:ind w:left="-142" w:firstLine="0"/>
        <w:jc w:val="both"/>
        <w:rPr>
          <w:rFonts w:ascii="Times New Roman" w:eastAsia="Open Sans" w:hAnsi="Times New Roman" w:cs="Times New Roman"/>
          <w:b/>
          <w:bCs/>
          <w:color w:val="074BA9"/>
          <w:sz w:val="24"/>
          <w:szCs w:val="24"/>
          <w:u w:val="single"/>
          <w:lang w:val="es-ES"/>
        </w:rPr>
      </w:pPr>
      <w:r w:rsidRPr="009034E2">
        <w:rPr>
          <w:rFonts w:ascii="Times New Roman" w:hAnsi="Times New Roman" w:cs="Times New Roman"/>
          <w:sz w:val="24"/>
          <w:szCs w:val="24"/>
        </w:rPr>
        <w:t>______</w:t>
      </w:r>
      <w:r w:rsidRPr="009034E2">
        <w:rPr>
          <w:rFonts w:ascii="Times New Roman" w:eastAsia="Times New Roman" w:hAnsi="Times New Roman" w:cs="Times New Roman"/>
          <w:sz w:val="24"/>
          <w:szCs w:val="24"/>
          <w:lang w:val="es-ES"/>
        </w:rPr>
        <w:t xml:space="preserve">. Sobre constituirse a sí mismo como sujeto anárquico, In: HERNÁNDEZ, Simón Royo. </w:t>
      </w:r>
      <w:r w:rsidRPr="009034E2">
        <w:rPr>
          <w:rFonts w:ascii="Times New Roman" w:eastAsia="Times New Roman" w:hAnsi="Times New Roman" w:cs="Times New Roman"/>
          <w:i/>
          <w:iCs/>
          <w:sz w:val="24"/>
          <w:szCs w:val="24"/>
          <w:lang w:val="es-ES"/>
        </w:rPr>
        <w:t>El sujeito anárquico:</w:t>
      </w:r>
      <w:r w:rsidRPr="009034E2">
        <w:rPr>
          <w:rFonts w:ascii="Times New Roman" w:eastAsia="Times New Roman" w:hAnsi="Times New Roman" w:cs="Times New Roman"/>
          <w:b/>
          <w:bCs/>
          <w:sz w:val="24"/>
          <w:szCs w:val="24"/>
          <w:lang w:val="es-ES"/>
        </w:rPr>
        <w:t xml:space="preserve"> </w:t>
      </w:r>
      <w:r w:rsidRPr="009034E2">
        <w:rPr>
          <w:rFonts w:ascii="Times New Roman" w:eastAsia="Times New Roman" w:hAnsi="Times New Roman" w:cs="Times New Roman"/>
          <w:sz w:val="24"/>
          <w:szCs w:val="24"/>
          <w:lang w:val="es-ES"/>
        </w:rPr>
        <w:t>Rainer Schürmann y MIchel Foucault. Madrid, Arena Libros, 2019. p. 140-165.</w:t>
      </w:r>
    </w:p>
    <w:p w14:paraId="6547B4B2" w14:textId="77777777" w:rsidR="004C696D" w:rsidRPr="009034E2" w:rsidRDefault="004C696D" w:rsidP="00304668">
      <w:pPr>
        <w:pStyle w:val="PargrafodaLista"/>
        <w:spacing w:after="0" w:line="240" w:lineRule="auto"/>
        <w:ind w:left="-142"/>
        <w:rPr>
          <w:rFonts w:ascii="Times New Roman" w:eastAsia="Open Sans" w:hAnsi="Times New Roman" w:cs="Times New Roman"/>
          <w:b/>
          <w:bCs/>
          <w:color w:val="074BA9"/>
          <w:sz w:val="24"/>
          <w:szCs w:val="24"/>
          <w:u w:val="single"/>
          <w:lang w:val="es-ES"/>
        </w:rPr>
      </w:pPr>
    </w:p>
    <w:p w14:paraId="4E990A29" w14:textId="173D597B" w:rsidR="00DD089F" w:rsidRPr="009034E2" w:rsidRDefault="00DD089F" w:rsidP="00304668">
      <w:pPr>
        <w:pStyle w:val="SemEspaamento"/>
        <w:numPr>
          <w:ilvl w:val="0"/>
          <w:numId w:val="16"/>
        </w:numPr>
        <w:ind w:left="-142" w:firstLine="0"/>
        <w:jc w:val="both"/>
        <w:rPr>
          <w:rFonts w:ascii="Times New Roman" w:hAnsi="Times New Roman" w:cs="Times New Roman"/>
          <w:sz w:val="24"/>
          <w:szCs w:val="24"/>
        </w:rPr>
      </w:pPr>
      <w:r w:rsidRPr="009034E2">
        <w:rPr>
          <w:rFonts w:ascii="Times New Roman" w:hAnsi="Times New Roman" w:cs="Times New Roman"/>
          <w:sz w:val="24"/>
          <w:szCs w:val="24"/>
        </w:rPr>
        <w:t xml:space="preserve">STIRNER, Max. </w:t>
      </w:r>
      <w:r w:rsidRPr="009034E2">
        <w:rPr>
          <w:rFonts w:ascii="Times New Roman" w:hAnsi="Times New Roman" w:cs="Times New Roman"/>
          <w:i/>
          <w:iCs/>
          <w:sz w:val="24"/>
          <w:szCs w:val="24"/>
        </w:rPr>
        <w:t>O único e suas propriedades</w:t>
      </w:r>
      <w:r w:rsidRPr="009034E2">
        <w:rPr>
          <w:rFonts w:ascii="Times New Roman" w:hAnsi="Times New Roman" w:cs="Times New Roman"/>
          <w:sz w:val="24"/>
          <w:szCs w:val="24"/>
        </w:rPr>
        <w:t>. (João Barrento, trad.) Lisboa: Antígona, 1844/2004.</w:t>
      </w:r>
    </w:p>
    <w:p w14:paraId="09534345" w14:textId="77777777" w:rsidR="004C696D" w:rsidRPr="009034E2" w:rsidRDefault="004C696D" w:rsidP="00304668">
      <w:pPr>
        <w:pStyle w:val="PargrafodaLista"/>
        <w:spacing w:after="0" w:line="240" w:lineRule="auto"/>
        <w:ind w:left="-142"/>
        <w:rPr>
          <w:rFonts w:ascii="Times New Roman" w:hAnsi="Times New Roman" w:cs="Times New Roman"/>
          <w:sz w:val="24"/>
          <w:szCs w:val="24"/>
        </w:rPr>
      </w:pPr>
    </w:p>
    <w:p w14:paraId="6027968B" w14:textId="72D279AA" w:rsidR="00DD089F" w:rsidRDefault="00DD089F" w:rsidP="00304668">
      <w:pPr>
        <w:pStyle w:val="SemEspaamento"/>
        <w:numPr>
          <w:ilvl w:val="0"/>
          <w:numId w:val="16"/>
        </w:numPr>
        <w:ind w:left="-142" w:firstLine="0"/>
        <w:jc w:val="both"/>
        <w:rPr>
          <w:rFonts w:ascii="Times New Roman" w:hAnsi="Times New Roman" w:cs="Times New Roman"/>
          <w:sz w:val="24"/>
          <w:szCs w:val="24"/>
        </w:rPr>
      </w:pPr>
      <w:r w:rsidRPr="009034E2">
        <w:rPr>
          <w:rFonts w:ascii="Times New Roman" w:hAnsi="Times New Roman" w:cs="Times New Roman"/>
          <w:sz w:val="24"/>
          <w:szCs w:val="24"/>
        </w:rPr>
        <w:t xml:space="preserve">______. </w:t>
      </w:r>
      <w:r w:rsidRPr="009034E2">
        <w:rPr>
          <w:rFonts w:ascii="Times New Roman" w:hAnsi="Times New Roman" w:cs="Times New Roman"/>
          <w:i/>
          <w:iCs/>
          <w:sz w:val="24"/>
          <w:szCs w:val="24"/>
        </w:rPr>
        <w:t>Stirner’s Critics</w:t>
      </w:r>
      <w:r w:rsidRPr="009034E2">
        <w:rPr>
          <w:rFonts w:ascii="Times New Roman" w:hAnsi="Times New Roman" w:cs="Times New Roman"/>
          <w:sz w:val="24"/>
          <w:szCs w:val="24"/>
        </w:rPr>
        <w:t xml:space="preserve">. 1845. Disponível em: </w:t>
      </w:r>
      <w:hyperlink r:id="rId19" w:history="1">
        <w:r w:rsidR="00E71487" w:rsidRPr="00DA2A52">
          <w:rPr>
            <w:rStyle w:val="Hyperlink"/>
            <w:rFonts w:ascii="Times New Roman" w:eastAsia="Aptos" w:hAnsi="Times New Roman" w:cs="Times New Roman"/>
            <w:sz w:val="24"/>
            <w:szCs w:val="24"/>
          </w:rPr>
          <w:t>https://theanarchistlibrary.org/library/max-stirner-stirner-s-critics</w:t>
        </w:r>
        <w:r w:rsidR="00E71487" w:rsidRPr="00DA2A52">
          <w:rPr>
            <w:rStyle w:val="Hyperlink"/>
            <w:rFonts w:ascii="Times New Roman" w:hAnsi="Times New Roman" w:cs="Times New Roman"/>
            <w:sz w:val="24"/>
            <w:szCs w:val="24"/>
          </w:rPr>
          <w:t xml:space="preserve"> Acesso em 17/05/2025</w:t>
        </w:r>
      </w:hyperlink>
      <w:r w:rsidRPr="009034E2">
        <w:rPr>
          <w:rFonts w:ascii="Times New Roman" w:hAnsi="Times New Roman" w:cs="Times New Roman"/>
          <w:sz w:val="24"/>
          <w:szCs w:val="24"/>
        </w:rPr>
        <w:t>.</w:t>
      </w:r>
    </w:p>
    <w:p w14:paraId="0F9259AF" w14:textId="77777777" w:rsidR="00E71487" w:rsidRDefault="00E71487" w:rsidP="00304668">
      <w:pPr>
        <w:pStyle w:val="PargrafodaLista"/>
        <w:spacing w:after="0" w:line="240" w:lineRule="auto"/>
        <w:rPr>
          <w:rFonts w:ascii="Times New Roman" w:hAnsi="Times New Roman" w:cs="Times New Roman"/>
          <w:sz w:val="24"/>
          <w:szCs w:val="24"/>
        </w:rPr>
      </w:pPr>
    </w:p>
    <w:p w14:paraId="1E502AEB" w14:textId="77777777" w:rsidR="00E71487" w:rsidRDefault="00E71487" w:rsidP="00E71487">
      <w:pPr>
        <w:pStyle w:val="SemEspaamento"/>
        <w:jc w:val="both"/>
        <w:rPr>
          <w:rFonts w:ascii="Times New Roman" w:hAnsi="Times New Roman" w:cs="Times New Roman"/>
          <w:sz w:val="24"/>
          <w:szCs w:val="24"/>
        </w:rPr>
      </w:pPr>
    </w:p>
    <w:p w14:paraId="2B6C1A47" w14:textId="77777777" w:rsidR="00E71487" w:rsidRDefault="00E71487" w:rsidP="00E71487">
      <w:pPr>
        <w:pStyle w:val="SemEspaamento"/>
        <w:jc w:val="both"/>
        <w:rPr>
          <w:rFonts w:ascii="Times New Roman" w:hAnsi="Times New Roman" w:cs="Times New Roman"/>
          <w:sz w:val="24"/>
          <w:szCs w:val="24"/>
        </w:rPr>
      </w:pPr>
    </w:p>
    <w:p w14:paraId="39DB47B8" w14:textId="77777777" w:rsidR="00E71487" w:rsidRDefault="00E71487" w:rsidP="00E71487">
      <w:pPr>
        <w:pStyle w:val="SemEspaamento"/>
        <w:jc w:val="both"/>
        <w:rPr>
          <w:rFonts w:ascii="Times New Roman" w:hAnsi="Times New Roman" w:cs="Times New Roman"/>
          <w:sz w:val="24"/>
          <w:szCs w:val="24"/>
        </w:rPr>
      </w:pPr>
    </w:p>
    <w:p w14:paraId="3F0A2D90" w14:textId="77777777" w:rsidR="00E71487" w:rsidRDefault="00E71487" w:rsidP="00E71487">
      <w:pPr>
        <w:pStyle w:val="SemEspaamento"/>
        <w:jc w:val="both"/>
        <w:rPr>
          <w:rFonts w:ascii="Times New Roman" w:hAnsi="Times New Roman" w:cs="Times New Roman"/>
          <w:sz w:val="24"/>
          <w:szCs w:val="24"/>
        </w:rPr>
      </w:pPr>
    </w:p>
    <w:p w14:paraId="2613CC61" w14:textId="77777777" w:rsidR="00E71487" w:rsidRDefault="00E71487" w:rsidP="00E71487">
      <w:pPr>
        <w:pStyle w:val="SemEspaamento"/>
        <w:jc w:val="both"/>
        <w:rPr>
          <w:rFonts w:ascii="Times New Roman" w:hAnsi="Times New Roman" w:cs="Times New Roman"/>
          <w:sz w:val="24"/>
          <w:szCs w:val="24"/>
        </w:rPr>
      </w:pPr>
    </w:p>
    <w:p w14:paraId="39359276" w14:textId="77777777" w:rsidR="00E71487" w:rsidRDefault="00E71487" w:rsidP="00E71487">
      <w:pPr>
        <w:pStyle w:val="SemEspaamento"/>
        <w:jc w:val="both"/>
        <w:rPr>
          <w:rFonts w:ascii="Times New Roman" w:hAnsi="Times New Roman" w:cs="Times New Roman"/>
          <w:sz w:val="24"/>
          <w:szCs w:val="24"/>
        </w:rPr>
      </w:pPr>
    </w:p>
    <w:p w14:paraId="5F7D6723" w14:textId="77777777" w:rsidR="00E71487" w:rsidRDefault="00E71487" w:rsidP="00E71487">
      <w:pPr>
        <w:pStyle w:val="SemEspaamento"/>
        <w:jc w:val="both"/>
        <w:rPr>
          <w:rFonts w:ascii="Times New Roman" w:hAnsi="Times New Roman" w:cs="Times New Roman"/>
          <w:sz w:val="24"/>
          <w:szCs w:val="24"/>
        </w:rPr>
      </w:pPr>
    </w:p>
    <w:p w14:paraId="097A9C9B" w14:textId="77777777" w:rsidR="00E71487" w:rsidRDefault="00E71487" w:rsidP="00E71487">
      <w:pPr>
        <w:pStyle w:val="SemEspaamento"/>
        <w:jc w:val="both"/>
        <w:rPr>
          <w:rFonts w:ascii="Times New Roman" w:hAnsi="Times New Roman" w:cs="Times New Roman"/>
          <w:sz w:val="24"/>
          <w:szCs w:val="24"/>
        </w:rPr>
      </w:pPr>
    </w:p>
    <w:p w14:paraId="24E25C32" w14:textId="77777777" w:rsidR="00E71487" w:rsidRDefault="00E71487" w:rsidP="00E71487">
      <w:pPr>
        <w:pStyle w:val="SemEspaamento"/>
        <w:jc w:val="both"/>
        <w:rPr>
          <w:rFonts w:ascii="Times New Roman" w:hAnsi="Times New Roman" w:cs="Times New Roman"/>
          <w:sz w:val="24"/>
          <w:szCs w:val="24"/>
        </w:rPr>
      </w:pPr>
    </w:p>
    <w:p w14:paraId="2C4FC13F" w14:textId="77777777" w:rsidR="00E71487" w:rsidRDefault="00E71487" w:rsidP="00E71487">
      <w:pPr>
        <w:pStyle w:val="SemEspaamento"/>
        <w:jc w:val="both"/>
        <w:rPr>
          <w:rFonts w:ascii="Times New Roman" w:hAnsi="Times New Roman" w:cs="Times New Roman"/>
          <w:sz w:val="24"/>
          <w:szCs w:val="24"/>
        </w:rPr>
      </w:pPr>
    </w:p>
    <w:p w14:paraId="6A14765D" w14:textId="77777777" w:rsidR="00E71487" w:rsidRDefault="00E71487" w:rsidP="00E71487">
      <w:pPr>
        <w:pStyle w:val="SemEspaamento"/>
        <w:jc w:val="both"/>
        <w:rPr>
          <w:rFonts w:ascii="Times New Roman" w:hAnsi="Times New Roman" w:cs="Times New Roman"/>
          <w:sz w:val="24"/>
          <w:szCs w:val="24"/>
        </w:rPr>
      </w:pPr>
    </w:p>
    <w:bookmarkEnd w:id="1"/>
    <w:p w14:paraId="717D0223" w14:textId="77777777" w:rsidR="00C627F1" w:rsidRPr="00FD4537" w:rsidRDefault="00C627F1" w:rsidP="00C627F1">
      <w:pPr>
        <w:spacing w:line="240" w:lineRule="auto"/>
        <w:jc w:val="center"/>
        <w:rPr>
          <w:rFonts w:ascii="Times New Roman" w:hAnsi="Times New Roman" w:cs="Times New Roman"/>
          <w:b/>
          <w:bCs/>
          <w:sz w:val="24"/>
          <w:szCs w:val="24"/>
        </w:rPr>
      </w:pPr>
      <w:r w:rsidRPr="00FD4537">
        <w:rPr>
          <w:rFonts w:ascii="Times New Roman" w:hAnsi="Times New Roman" w:cs="Times New Roman"/>
          <w:b/>
          <w:bCs/>
          <w:sz w:val="24"/>
          <w:szCs w:val="24"/>
        </w:rPr>
        <w:t>REFLEXÕES DECOLONIAIS PARA ATUAÇÃO DE UMA CLÍNICA PSICOLÓGICA ANTIRRACISTA: CARTOGRAFIA DE UM COTIDIANO</w:t>
      </w:r>
    </w:p>
    <w:p w14:paraId="63C7E4FC" w14:textId="77777777" w:rsidR="00C627F1" w:rsidRPr="00FD4537" w:rsidRDefault="00C627F1" w:rsidP="00C627F1">
      <w:pPr>
        <w:jc w:val="center"/>
        <w:rPr>
          <w:rFonts w:ascii="Times New Roman" w:hAnsi="Times New Roman" w:cs="Times New Roman"/>
          <w:b/>
          <w:bCs/>
          <w:sz w:val="24"/>
          <w:szCs w:val="24"/>
        </w:rPr>
      </w:pPr>
    </w:p>
    <w:p w14:paraId="06A88386" w14:textId="77777777" w:rsidR="00C627F1" w:rsidRPr="00FD4537" w:rsidRDefault="00C627F1" w:rsidP="00C627F1">
      <w:pPr>
        <w:tabs>
          <w:tab w:val="left" w:pos="851"/>
        </w:tabs>
        <w:spacing w:after="0" w:line="240" w:lineRule="auto"/>
        <w:jc w:val="center"/>
        <w:rPr>
          <w:rFonts w:ascii="Times New Roman" w:hAnsi="Times New Roman" w:cs="Times New Roman"/>
          <w:b/>
          <w:sz w:val="24"/>
          <w:szCs w:val="24"/>
        </w:rPr>
      </w:pPr>
      <w:r w:rsidRPr="00FD4537">
        <w:rPr>
          <w:rFonts w:ascii="Times New Roman" w:hAnsi="Times New Roman" w:cs="Times New Roman"/>
          <w:b/>
          <w:sz w:val="24"/>
          <w:szCs w:val="24"/>
        </w:rPr>
        <w:t>REFLEXIONES DECOLONIALES PARA LA ACTUACIÓN DE UNA CLÍNICA PSICOLÓGICA ANTIRRACISTA: CARTOGRAFÍA DE UNA COTIDIANIDAD</w:t>
      </w:r>
    </w:p>
    <w:p w14:paraId="09CA5558" w14:textId="77777777" w:rsidR="00C627F1" w:rsidRDefault="00C627F1" w:rsidP="00C627F1">
      <w:pPr>
        <w:tabs>
          <w:tab w:val="left" w:pos="851"/>
          <w:tab w:val="left" w:pos="5051"/>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3238C425" w14:textId="77777777" w:rsidR="00C627F1" w:rsidRPr="00850E20" w:rsidRDefault="00C627F1" w:rsidP="00C627F1">
      <w:pPr>
        <w:tabs>
          <w:tab w:val="left" w:pos="851"/>
        </w:tabs>
        <w:spacing w:after="0" w:line="240" w:lineRule="auto"/>
        <w:jc w:val="right"/>
        <w:rPr>
          <w:rFonts w:ascii="Times New Roman" w:hAnsi="Times New Roman" w:cs="Times New Roman"/>
          <w:sz w:val="28"/>
          <w:szCs w:val="28"/>
          <w:shd w:val="clear" w:color="auto" w:fill="FFFFFF"/>
        </w:rPr>
      </w:pPr>
      <w:r w:rsidRPr="00850E20">
        <w:rPr>
          <w:rFonts w:ascii="Times New Roman" w:hAnsi="Times New Roman" w:cs="Times New Roman"/>
          <w:sz w:val="28"/>
          <w:szCs w:val="28"/>
          <w:shd w:val="clear" w:color="auto" w:fill="FFFFFF"/>
        </w:rPr>
        <w:t>Diogo Fagundes Pereira</w:t>
      </w:r>
    </w:p>
    <w:p w14:paraId="46C99B9A"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3F634CD2" w14:textId="77777777" w:rsidR="00C627F1" w:rsidRPr="00251B78" w:rsidRDefault="00C627F1" w:rsidP="00C627F1">
      <w:pPr>
        <w:shd w:val="clear" w:color="auto" w:fill="FFFFFF"/>
        <w:spacing w:after="0" w:line="360" w:lineRule="auto"/>
        <w:ind w:left="2268"/>
        <w:jc w:val="both"/>
        <w:rPr>
          <w:rFonts w:ascii="Times New Roman" w:eastAsia="Times New Roman" w:hAnsi="Times New Roman" w:cs="Times New Roman"/>
          <w:color w:val="222222"/>
          <w:sz w:val="24"/>
          <w:szCs w:val="24"/>
          <w:lang w:eastAsia="pt-BR"/>
        </w:rPr>
      </w:pPr>
      <w:r w:rsidRPr="00251B78">
        <w:rPr>
          <w:rFonts w:ascii="Times New Roman" w:eastAsia="Times New Roman" w:hAnsi="Times New Roman" w:cs="Times New Roman"/>
          <w:color w:val="222222"/>
          <w:sz w:val="24"/>
          <w:szCs w:val="24"/>
          <w:lang w:eastAsia="pt-BR"/>
        </w:rPr>
        <w:t>Doutor em Educação, Mestre em Psicologia, Psicólogo Clínico e Pedagogo Mariana Felippe Barenco Dorta da Silva, Psicóloga Clínica.</w:t>
      </w:r>
    </w:p>
    <w:p w14:paraId="5F86E104" w14:textId="77777777" w:rsidR="00C627F1" w:rsidRPr="00CA7CF7" w:rsidRDefault="00C627F1" w:rsidP="00C627F1">
      <w:pPr>
        <w:tabs>
          <w:tab w:val="left" w:pos="851"/>
        </w:tabs>
        <w:spacing w:after="0" w:line="240" w:lineRule="auto"/>
        <w:jc w:val="right"/>
        <w:rPr>
          <w:rFonts w:ascii="Times New Roman" w:hAnsi="Times New Roman" w:cs="Times New Roman"/>
          <w:b/>
          <w:sz w:val="28"/>
          <w:szCs w:val="28"/>
        </w:rPr>
      </w:pPr>
    </w:p>
    <w:p w14:paraId="5473304B" w14:textId="0D04EC04" w:rsidR="00C627F1" w:rsidRPr="00CA7CF7" w:rsidRDefault="00CA7CF7" w:rsidP="00C627F1">
      <w:pPr>
        <w:tabs>
          <w:tab w:val="left" w:pos="851"/>
        </w:tabs>
        <w:spacing w:after="0" w:line="240" w:lineRule="auto"/>
        <w:jc w:val="right"/>
        <w:rPr>
          <w:rFonts w:ascii="Times New Roman" w:hAnsi="Times New Roman" w:cs="Times New Roman"/>
          <w:b/>
          <w:sz w:val="28"/>
          <w:szCs w:val="28"/>
        </w:rPr>
      </w:pPr>
      <w:r w:rsidRPr="00CA7CF7">
        <w:rPr>
          <w:rStyle w:val="label"/>
          <w:rFonts w:ascii="Times New Roman" w:hAnsi="Times New Roman" w:cs="Times New Roman"/>
          <w:sz w:val="28"/>
          <w:szCs w:val="28"/>
          <w:shd w:val="clear" w:color="auto" w:fill="FFFFFF"/>
        </w:rPr>
        <w:t>Mariana Felippe Barenco Dorta da Silva</w:t>
      </w:r>
    </w:p>
    <w:p w14:paraId="62107EEB"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2DE1D6C3" w14:textId="2FF91B15" w:rsidR="00C627F1" w:rsidRPr="0089436B" w:rsidRDefault="0089436B" w:rsidP="00C627F1">
      <w:pPr>
        <w:tabs>
          <w:tab w:val="left" w:pos="851"/>
        </w:tabs>
        <w:spacing w:after="0" w:line="240" w:lineRule="auto"/>
        <w:jc w:val="right"/>
        <w:rPr>
          <w:rFonts w:ascii="Times New Roman" w:hAnsi="Times New Roman" w:cs="Times New Roman"/>
          <w:b/>
          <w:sz w:val="24"/>
          <w:szCs w:val="24"/>
        </w:rPr>
      </w:pPr>
      <w:r w:rsidRPr="0089436B">
        <w:rPr>
          <w:rFonts w:ascii="Times New Roman" w:hAnsi="Times New Roman" w:cs="Times New Roman"/>
          <w:sz w:val="24"/>
          <w:szCs w:val="24"/>
        </w:rPr>
        <w:t>Psicóloga (UNIFASE)</w:t>
      </w:r>
    </w:p>
    <w:p w14:paraId="4BF8C511"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21ACE8EE"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0170BE71"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5D46AF91"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7BCA488E"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1A4E770F"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4F3A3D82"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085693E0"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7C739E36"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7A897367"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061D24F1"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271EE208"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66D21463"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2464FEBF"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518DA4A0"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41F173A7"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66EEAC3A"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6D520FC0"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00331B0F"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43A1CDEA"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31655E14"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18D705DA"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0C0834D8"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31E0023C"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79C28160"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35EA27F4"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6535220E" w14:textId="77777777" w:rsidR="009E1496" w:rsidRDefault="009E1496" w:rsidP="00C627F1">
      <w:pPr>
        <w:tabs>
          <w:tab w:val="left" w:pos="851"/>
        </w:tabs>
        <w:spacing w:after="0" w:line="240" w:lineRule="auto"/>
        <w:jc w:val="right"/>
        <w:rPr>
          <w:rFonts w:ascii="Times New Roman" w:hAnsi="Times New Roman" w:cs="Times New Roman"/>
          <w:b/>
          <w:sz w:val="24"/>
          <w:szCs w:val="24"/>
        </w:rPr>
      </w:pPr>
    </w:p>
    <w:p w14:paraId="730B7AA7" w14:textId="77777777" w:rsidR="00C627F1" w:rsidRDefault="00C627F1" w:rsidP="00C627F1">
      <w:pPr>
        <w:tabs>
          <w:tab w:val="left" w:pos="851"/>
        </w:tabs>
        <w:spacing w:after="0" w:line="240" w:lineRule="auto"/>
        <w:jc w:val="right"/>
        <w:rPr>
          <w:rFonts w:ascii="Times New Roman" w:hAnsi="Times New Roman" w:cs="Times New Roman"/>
          <w:b/>
          <w:sz w:val="24"/>
          <w:szCs w:val="24"/>
        </w:rPr>
      </w:pPr>
    </w:p>
    <w:p w14:paraId="1A6D4FA8" w14:textId="0457494F" w:rsidR="00C627F1" w:rsidRDefault="009E1496" w:rsidP="00C627F1">
      <w:pPr>
        <w:jc w:val="center"/>
        <w:rPr>
          <w:rFonts w:ascii="Times New Roman" w:hAnsi="Times New Roman" w:cs="Times New Roman"/>
          <w:sz w:val="24"/>
          <w:szCs w:val="24"/>
        </w:rPr>
      </w:pPr>
      <w:r>
        <w:rPr>
          <w:rFonts w:ascii="Times New Roman" w:hAnsi="Times New Roman" w:cs="Times New Roman"/>
          <w:b/>
          <w:sz w:val="24"/>
          <w:szCs w:val="24"/>
        </w:rPr>
        <w:t xml:space="preserve"> </w:t>
      </w:r>
      <w:r w:rsidR="00C627F1" w:rsidRPr="00224E29">
        <w:rPr>
          <w:rFonts w:ascii="Times New Roman" w:hAnsi="Times New Roman" w:cs="Times New Roman"/>
          <w:b/>
          <w:sz w:val="24"/>
          <w:szCs w:val="24"/>
        </w:rPr>
        <w:t>RESUMO</w:t>
      </w:r>
    </w:p>
    <w:p w14:paraId="6E95A497" w14:textId="77777777" w:rsidR="00C627F1" w:rsidRDefault="00C627F1" w:rsidP="00C627F1">
      <w:pPr>
        <w:spacing w:line="240" w:lineRule="auto"/>
        <w:jc w:val="both"/>
        <w:rPr>
          <w:rFonts w:ascii="Times New Roman" w:hAnsi="Times New Roman" w:cs="Times New Roman"/>
          <w:sz w:val="24"/>
          <w:szCs w:val="24"/>
        </w:rPr>
      </w:pPr>
      <w:r w:rsidRPr="00686A2C">
        <w:rPr>
          <w:rFonts w:ascii="Times New Roman" w:hAnsi="Times New Roman" w:cs="Times New Roman"/>
          <w:sz w:val="24"/>
          <w:szCs w:val="24"/>
        </w:rPr>
        <w:t>Esta pesquisa pretendeu se aproximar de experiências da psicologia clínica em relação ao atendimento da população negra. Buscou acompanhar como essa questão vem atravessando o cotidiano da clínica nos últimos anos e como a falta de entendimento e de formação da psicologia contribuiu para a invisibilidade do sofrimento psíquico advindo da historicidade do racismo colonial.</w:t>
      </w:r>
      <w:r>
        <w:rPr>
          <w:rFonts w:ascii="Times New Roman" w:hAnsi="Times New Roman" w:cs="Times New Roman"/>
          <w:sz w:val="24"/>
          <w:szCs w:val="24"/>
        </w:rPr>
        <w:t xml:space="preserve"> </w:t>
      </w:r>
      <w:r w:rsidRPr="00686A2C">
        <w:rPr>
          <w:rFonts w:ascii="Times New Roman" w:hAnsi="Times New Roman" w:cs="Times New Roman"/>
          <w:sz w:val="24"/>
          <w:szCs w:val="24"/>
        </w:rPr>
        <w:t>Partindo dos estudos decoloniais e de autores como Neusa Santos (1983), Grada Kilomba (2008), Frantz Fanon (2008), Djamila Ribeiro (2019) e Cida Bento (2022), este estudo buscou identificar a preparação dos profissionais de psicologia para lidar com questões raciais e seus impactos na saúde mental da população negra. Metodologicamente, realizou-se uma pesquisa de campo, com inspiração cartográfica, onde foram acompanhados seis psicólogos(as) atuantes na clínica.</w:t>
      </w:r>
      <w:r>
        <w:rPr>
          <w:rFonts w:ascii="Times New Roman" w:hAnsi="Times New Roman" w:cs="Times New Roman"/>
          <w:sz w:val="24"/>
          <w:szCs w:val="24"/>
        </w:rPr>
        <w:t xml:space="preserve"> </w:t>
      </w:r>
      <w:r w:rsidRPr="00686A2C">
        <w:rPr>
          <w:rFonts w:ascii="Times New Roman" w:hAnsi="Times New Roman" w:cs="Times New Roman"/>
          <w:sz w:val="24"/>
          <w:szCs w:val="24"/>
        </w:rPr>
        <w:t>As análises apontaram, principalmente, a escassez de autores negros na formação, que tratassem sobre os atravessamentos do racismo em toda a atuação da psicologia, principalmente na clínica, e que a condução dessas questões, quando aparecem na clínica, está mais apoiada na intuição do profissional do que em orientações mais claras a esse respeito. Muitos também não entendem a questão do racismo estrutural como "produtor" de psicopatologias.</w:t>
      </w:r>
      <w:r>
        <w:rPr>
          <w:rFonts w:ascii="Times New Roman" w:hAnsi="Times New Roman" w:cs="Times New Roman"/>
          <w:sz w:val="24"/>
          <w:szCs w:val="24"/>
        </w:rPr>
        <w:t xml:space="preserve"> </w:t>
      </w:r>
      <w:r w:rsidRPr="00686A2C">
        <w:rPr>
          <w:rFonts w:ascii="Times New Roman" w:hAnsi="Times New Roman" w:cs="Times New Roman"/>
          <w:sz w:val="24"/>
          <w:szCs w:val="24"/>
        </w:rPr>
        <w:t>Concluiu-se que há perspectivas diversas sobre o atendimento desta população, com desafios profissionais, culturais e estruturais que precisam ser enfrentados para uma melhor atuação, conforme será descrito no decorrer desta pesquisa. Com isso, tornou-se importante, durante toda a pesquisa, a conscientização de cada psicólogo sobre a própria atuação clínica e pensamentos sobre a construção profissional almejada para si</w:t>
      </w:r>
      <w:r>
        <w:rPr>
          <w:rFonts w:ascii="Times New Roman" w:hAnsi="Times New Roman" w:cs="Times New Roman"/>
          <w:sz w:val="24"/>
          <w:szCs w:val="24"/>
        </w:rPr>
        <w:t>.</w:t>
      </w:r>
    </w:p>
    <w:p w14:paraId="7DD81669" w14:textId="77777777" w:rsidR="00C627F1" w:rsidRDefault="00C627F1" w:rsidP="00C627F1">
      <w:pPr>
        <w:spacing w:after="242"/>
        <w:ind w:left="-5" w:right="-15" w:hanging="10"/>
        <w:rPr>
          <w:rFonts w:ascii="Times New Roman" w:hAnsi="Times New Roman" w:cs="Times New Roman"/>
          <w:b/>
          <w:sz w:val="24"/>
          <w:szCs w:val="24"/>
        </w:rPr>
      </w:pPr>
      <w:r w:rsidRPr="00224E29">
        <w:rPr>
          <w:rFonts w:ascii="Times New Roman" w:hAnsi="Times New Roman" w:cs="Times New Roman"/>
          <w:b/>
          <w:sz w:val="24"/>
          <w:szCs w:val="24"/>
        </w:rPr>
        <w:t>PALAVRAS-CHAVE</w:t>
      </w:r>
    </w:p>
    <w:p w14:paraId="65E0A72A" w14:textId="77777777" w:rsidR="00C627F1" w:rsidRDefault="00C627F1" w:rsidP="00C627F1">
      <w:pPr>
        <w:spacing w:after="242"/>
        <w:ind w:left="-5" w:right="-15" w:hanging="10"/>
        <w:rPr>
          <w:rFonts w:ascii="Times New Roman" w:hAnsi="Times New Roman" w:cs="Times New Roman"/>
          <w:sz w:val="24"/>
          <w:szCs w:val="24"/>
        </w:rPr>
      </w:pPr>
      <w:r w:rsidRPr="00224E29">
        <w:rPr>
          <w:rFonts w:ascii="Times New Roman" w:hAnsi="Times New Roman" w:cs="Times New Roman"/>
          <w:sz w:val="24"/>
          <w:szCs w:val="24"/>
        </w:rPr>
        <w:t>Psicologia Clínica; População Negra; Atuação.</w:t>
      </w:r>
    </w:p>
    <w:p w14:paraId="7679DB2F" w14:textId="77777777" w:rsidR="00C627F1" w:rsidRDefault="00C627F1" w:rsidP="00C627F1">
      <w:pPr>
        <w:jc w:val="both"/>
        <w:rPr>
          <w:rFonts w:ascii="Times New Roman" w:hAnsi="Times New Roman" w:cs="Times New Roman"/>
          <w:b/>
          <w:sz w:val="24"/>
          <w:szCs w:val="24"/>
          <w:lang w:val="en-US"/>
        </w:rPr>
      </w:pPr>
    </w:p>
    <w:p w14:paraId="3BDA8D9D" w14:textId="77777777" w:rsidR="00C627F1" w:rsidRDefault="00C627F1" w:rsidP="00C627F1">
      <w:pPr>
        <w:jc w:val="center"/>
        <w:rPr>
          <w:rFonts w:ascii="Times New Roman" w:hAnsi="Times New Roman" w:cs="Times New Roman"/>
          <w:sz w:val="24"/>
          <w:szCs w:val="24"/>
          <w:lang w:val="en-US"/>
        </w:rPr>
      </w:pPr>
      <w:r w:rsidRPr="007A0FDA">
        <w:rPr>
          <w:rFonts w:ascii="Times New Roman" w:hAnsi="Times New Roman" w:cs="Times New Roman"/>
          <w:b/>
          <w:sz w:val="24"/>
          <w:szCs w:val="24"/>
          <w:lang w:val="en-US"/>
        </w:rPr>
        <w:t>ABSTRACT</w:t>
      </w:r>
    </w:p>
    <w:p w14:paraId="4A779D78" w14:textId="77777777" w:rsidR="00C627F1" w:rsidRPr="007A0FDA" w:rsidRDefault="00C627F1" w:rsidP="00C627F1">
      <w:pPr>
        <w:spacing w:line="240" w:lineRule="auto"/>
        <w:jc w:val="both"/>
        <w:rPr>
          <w:rFonts w:ascii="Times New Roman" w:hAnsi="Times New Roman" w:cs="Times New Roman"/>
          <w:sz w:val="24"/>
          <w:szCs w:val="24"/>
          <w:lang w:val="en-US"/>
        </w:rPr>
      </w:pPr>
      <w:r w:rsidRPr="007A0FDA">
        <w:rPr>
          <w:rFonts w:ascii="Times New Roman" w:hAnsi="Times New Roman" w:cs="Times New Roman"/>
          <w:sz w:val="24"/>
          <w:szCs w:val="24"/>
          <w:lang w:val="en-US"/>
        </w:rPr>
        <w:t>This research aimed to approach the experiences of clinical psychologists in relation to serving the black population, seeking to monitor how this issue has been permeating the daily routine of the clinic in recent years and how the lack of understanding and training in psychology contributes to the invisibility of psychological suffering arising from the historicity of colonial racism. Based on decolonial studies and authors such as Neusa Santos (1983); Grada Kilomba (2008); Frantz Fanon (2008); Djamila Ribeiro (2019); Cida Bento (2022), this study sought to identify the preparation of psychology professionals to deal with racial issues and their impacts on the mental health of the black population. Methodologically, a field research was carried out, with cartographic inspiration, in which 06 psychologists working in the clinic were monitored. The analyses mainly pointed to the scarcity of black authors in training who address the intersections of racism in all psychology activities, especially in clinical practice, and that the handling of these issues when they appear in clinical practice is more based on the professional's intuition than on clearer guidelines in this regard. Many also do not understand the issue of structural racism as a “producer” of psychopathologies. It was concluded that there are diverse perspectives on the care of this population, with professional, cultural and structural challenges that need to be faced for better performance, as will be described in the course of this research. Therefore, it became important throughout the research for each psychologist to be aware of their own clinical practice and to think about the professional construction desired for themselves.</w:t>
      </w:r>
    </w:p>
    <w:p w14:paraId="69E0F1D6" w14:textId="77777777" w:rsidR="00C627F1" w:rsidRDefault="00C627F1" w:rsidP="00C627F1">
      <w:pPr>
        <w:jc w:val="both"/>
        <w:rPr>
          <w:rFonts w:ascii="Times New Roman" w:hAnsi="Times New Roman" w:cs="Times New Roman"/>
          <w:b/>
          <w:sz w:val="24"/>
          <w:szCs w:val="24"/>
          <w:lang w:val="en-US"/>
        </w:rPr>
      </w:pPr>
      <w:r w:rsidRPr="007A0FDA">
        <w:rPr>
          <w:rFonts w:ascii="Times New Roman" w:hAnsi="Times New Roman" w:cs="Times New Roman"/>
          <w:b/>
          <w:sz w:val="24"/>
          <w:szCs w:val="24"/>
          <w:lang w:val="en-US"/>
        </w:rPr>
        <w:t>KEYWORDS</w:t>
      </w:r>
    </w:p>
    <w:p w14:paraId="75AA987F" w14:textId="77777777" w:rsidR="00C627F1" w:rsidRPr="00850E20" w:rsidRDefault="00C627F1" w:rsidP="00C627F1">
      <w:pPr>
        <w:jc w:val="both"/>
        <w:rPr>
          <w:rFonts w:ascii="Times New Roman" w:hAnsi="Times New Roman" w:cs="Times New Roman"/>
          <w:b/>
          <w:sz w:val="24"/>
          <w:szCs w:val="24"/>
          <w:lang w:val="en-US"/>
        </w:rPr>
      </w:pPr>
      <w:r w:rsidRPr="007A0FDA">
        <w:rPr>
          <w:rFonts w:ascii="Times New Roman" w:hAnsi="Times New Roman" w:cs="Times New Roman"/>
          <w:sz w:val="24"/>
          <w:szCs w:val="24"/>
          <w:lang w:val="en-US"/>
        </w:rPr>
        <w:t xml:space="preserve">Clinical psychology; Black Population; Acting. </w:t>
      </w:r>
    </w:p>
    <w:p w14:paraId="2CA946B6" w14:textId="77777777" w:rsidR="00C627F1" w:rsidRPr="00224E29" w:rsidRDefault="00C627F1" w:rsidP="00C627F1">
      <w:pPr>
        <w:spacing w:after="242"/>
        <w:ind w:left="-5" w:right="-15" w:hanging="10"/>
        <w:rPr>
          <w:rFonts w:ascii="Times New Roman" w:hAnsi="Times New Roman" w:cs="Times New Roman"/>
          <w:sz w:val="24"/>
          <w:szCs w:val="24"/>
        </w:rPr>
      </w:pPr>
    </w:p>
    <w:p w14:paraId="750A7048" w14:textId="77777777" w:rsidR="00C627F1" w:rsidRDefault="00C627F1" w:rsidP="00C627F1">
      <w:pPr>
        <w:jc w:val="both"/>
        <w:rPr>
          <w:rFonts w:ascii="Times New Roman" w:hAnsi="Times New Roman" w:cs="Times New Roman"/>
          <w:sz w:val="24"/>
          <w:szCs w:val="24"/>
        </w:rPr>
      </w:pPr>
    </w:p>
    <w:p w14:paraId="2C8274E4" w14:textId="77777777" w:rsidR="00C627F1" w:rsidRDefault="00C627F1" w:rsidP="00C627F1">
      <w:pPr>
        <w:jc w:val="both"/>
        <w:rPr>
          <w:rFonts w:ascii="Times New Roman" w:hAnsi="Times New Roman" w:cs="Times New Roman"/>
          <w:sz w:val="24"/>
          <w:szCs w:val="24"/>
        </w:rPr>
      </w:pPr>
    </w:p>
    <w:p w14:paraId="23CB16B0"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413218D5"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39EF7461"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32506E47"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52A366BE"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61A975C4"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3D17CBE0"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54F52AE3"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5C7B307D"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7D000612"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04F5D881"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667F78FE"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4351A7F4"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2EA502E6"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0B6D016F"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6FDCA490"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7EA20CB7"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29CEB19B"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79805B26"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4C35CAD2"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46B2CA9B"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541380DD"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0B436EFD"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35058513"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2FCF0757"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34595B7D"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63179DCE"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1C0DC80C"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57C03087"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03127F6B"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77AECD36"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08038A4F" w14:textId="77777777" w:rsidR="00C627F1" w:rsidRDefault="00C627F1" w:rsidP="00C627F1">
      <w:pPr>
        <w:tabs>
          <w:tab w:val="left" w:pos="851"/>
        </w:tabs>
        <w:spacing w:after="0" w:line="240" w:lineRule="auto"/>
        <w:jc w:val="center"/>
        <w:rPr>
          <w:rFonts w:ascii="Times New Roman" w:hAnsi="Times New Roman" w:cs="Times New Roman"/>
          <w:b/>
          <w:sz w:val="24"/>
          <w:szCs w:val="24"/>
        </w:rPr>
      </w:pPr>
    </w:p>
    <w:p w14:paraId="0ADD9C4B" w14:textId="77777777" w:rsidR="00C627F1" w:rsidRDefault="00C627F1" w:rsidP="00C627F1">
      <w:pPr>
        <w:rPr>
          <w:rFonts w:ascii="Times New Roman" w:hAnsi="Times New Roman" w:cs="Times New Roman"/>
          <w:b/>
          <w:sz w:val="24"/>
          <w:szCs w:val="24"/>
        </w:rPr>
      </w:pPr>
    </w:p>
    <w:p w14:paraId="72C1A76F" w14:textId="77777777" w:rsidR="00C627F1" w:rsidRDefault="00C627F1" w:rsidP="00C627F1">
      <w:pPr>
        <w:spacing w:line="240" w:lineRule="auto"/>
        <w:jc w:val="center"/>
        <w:rPr>
          <w:rFonts w:ascii="Times New Roman" w:hAnsi="Times New Roman" w:cs="Times New Roman"/>
          <w:b/>
          <w:bCs/>
          <w:sz w:val="24"/>
          <w:szCs w:val="24"/>
        </w:rPr>
      </w:pPr>
      <w:r w:rsidRPr="00224E29">
        <w:rPr>
          <w:rFonts w:ascii="Times New Roman" w:hAnsi="Times New Roman" w:cs="Times New Roman"/>
          <w:b/>
          <w:bCs/>
          <w:sz w:val="24"/>
          <w:szCs w:val="24"/>
        </w:rPr>
        <w:t xml:space="preserve">REFLEXÕES DECOLONIAIS PARA ATUAÇÃO </w:t>
      </w:r>
      <w:r>
        <w:rPr>
          <w:rFonts w:ascii="Times New Roman" w:hAnsi="Times New Roman" w:cs="Times New Roman"/>
          <w:b/>
          <w:bCs/>
          <w:sz w:val="24"/>
          <w:szCs w:val="24"/>
        </w:rPr>
        <w:t xml:space="preserve">DE UMA </w:t>
      </w:r>
      <w:r w:rsidRPr="00224E29">
        <w:rPr>
          <w:rFonts w:ascii="Times New Roman" w:hAnsi="Times New Roman" w:cs="Times New Roman"/>
          <w:b/>
          <w:bCs/>
          <w:sz w:val="24"/>
          <w:szCs w:val="24"/>
        </w:rPr>
        <w:t>CLÍNICA PSICOLÓGICA ANTIRRACISTA: CARTOGRAFIA DE UM COTIDIANO</w:t>
      </w:r>
    </w:p>
    <w:p w14:paraId="0A414464" w14:textId="77777777" w:rsidR="00C627F1" w:rsidRDefault="00C627F1" w:rsidP="00C627F1">
      <w:pPr>
        <w:rPr>
          <w:rFonts w:ascii="Times New Roman" w:hAnsi="Times New Roman" w:cs="Times New Roman"/>
          <w:b/>
          <w:bCs/>
          <w:sz w:val="24"/>
          <w:szCs w:val="24"/>
        </w:rPr>
      </w:pPr>
    </w:p>
    <w:p w14:paraId="04E95592" w14:textId="7AC63B6B" w:rsidR="00C627F1" w:rsidRPr="00B5729C" w:rsidRDefault="00C627F1" w:rsidP="00C627F1">
      <w:pPr>
        <w:rPr>
          <w:rFonts w:ascii="Times New Roman" w:hAnsi="Times New Roman" w:cs="Times New Roman"/>
          <w:b/>
          <w:bCs/>
          <w:sz w:val="24"/>
          <w:szCs w:val="24"/>
        </w:rPr>
      </w:pPr>
      <w:r>
        <w:rPr>
          <w:rFonts w:ascii="Times New Roman" w:hAnsi="Times New Roman" w:cs="Times New Roman"/>
          <w:b/>
          <w:bCs/>
          <w:sz w:val="24"/>
          <w:szCs w:val="24"/>
        </w:rPr>
        <w:t>1.</w:t>
      </w:r>
      <w:r w:rsidR="00DF4643">
        <w:rPr>
          <w:rFonts w:ascii="Times New Roman" w:hAnsi="Times New Roman" w:cs="Times New Roman"/>
          <w:b/>
          <w:bCs/>
          <w:sz w:val="24"/>
          <w:szCs w:val="24"/>
        </w:rPr>
        <w:t xml:space="preserve"> </w:t>
      </w:r>
      <w:r w:rsidRPr="00B5729C">
        <w:rPr>
          <w:rFonts w:ascii="Times New Roman" w:hAnsi="Times New Roman" w:cs="Times New Roman"/>
          <w:b/>
          <w:bCs/>
          <w:sz w:val="24"/>
          <w:szCs w:val="24"/>
        </w:rPr>
        <w:t>INTRODUÇÃO</w:t>
      </w:r>
    </w:p>
    <w:p w14:paraId="06848015" w14:textId="77777777" w:rsidR="00C627F1" w:rsidRPr="00850E20" w:rsidRDefault="00C627F1" w:rsidP="00C627F1">
      <w:pPr>
        <w:spacing w:before="240" w:line="240" w:lineRule="auto"/>
        <w:ind w:left="2268"/>
        <w:jc w:val="both"/>
        <w:rPr>
          <w:rFonts w:ascii="Times New Roman" w:hAnsi="Times New Roman" w:cs="Times New Roman"/>
          <w:iCs/>
          <w:sz w:val="20"/>
          <w:szCs w:val="20"/>
        </w:rPr>
      </w:pPr>
      <w:r w:rsidRPr="00850E20">
        <w:rPr>
          <w:rFonts w:ascii="Times New Roman" w:hAnsi="Times New Roman" w:cs="Times New Roman"/>
          <w:iCs/>
          <w:sz w:val="20"/>
          <w:szCs w:val="20"/>
        </w:rPr>
        <w:t>Por vezes, por exemplo, eu costumo encontrar pacientes que me buscam simplesmente pelo fato da identificação, porque eu sou um “psi” preto. Então, tem esse público que me busca por esse motivo. Então, assim, percebo que o meu ato de existir por si já carrega uma resistência. E percebo que por vezes eu acesso um público preto, uma população negra, mas que já é mais empoderada e apropriada do que está falando e buscando. Então, não basta ser um homem preto no mundo. Tem que ser um homem preto que se apropria dessa coisa, do contexto histórico e tal. Enfim, de novo, faz a pergunta novamente porque eu não sei se eu fugi, se eu escapei ou não. (Trecho retirado do encontro com N2...Psicólogo Preto...03 anos de atuação na clínica).</w:t>
      </w:r>
    </w:p>
    <w:p w14:paraId="24326864" w14:textId="77777777" w:rsidR="00C627F1" w:rsidRDefault="00C627F1" w:rsidP="00C627F1">
      <w:pPr>
        <w:spacing w:before="240"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É urgente a importância de o psicólogo estar atento as questões que atravessam o cotidiano. Mas do que nunca, para além de uma questão de ressarcimento e dívida histórica em relação a todos os males que o racismo provocou e tem provocado, é tempo de ampliarmos a concepção do que se passa no mundo e produz subjetividade (GUATTARI, 1992). Por mais que a formação em psicologia possa, de vez ou outra, assumir uma perspectiva técnica, precisa-se compreender enquanto saber psicológico que a subjetividade, assim como os possíveis sofrimentos psíquicos, não é da ordem da intimidade isoladamente, ele é político. </w:t>
      </w:r>
    </w:p>
    <w:p w14:paraId="3CDB9819"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Diante</w:t>
      </w:r>
      <w:r w:rsidRPr="00224E29">
        <w:rPr>
          <w:rFonts w:ascii="Times New Roman" w:hAnsi="Times New Roman" w:cs="Times New Roman"/>
          <w:sz w:val="24"/>
          <w:szCs w:val="24"/>
        </w:rPr>
        <w:t xml:space="preserve"> </w:t>
      </w:r>
      <w:r>
        <w:rPr>
          <w:rFonts w:ascii="Times New Roman" w:hAnsi="Times New Roman" w:cs="Times New Roman"/>
          <w:sz w:val="24"/>
          <w:szCs w:val="24"/>
        </w:rPr>
        <w:t>da</w:t>
      </w:r>
      <w:r w:rsidRPr="00224E29">
        <w:rPr>
          <w:rFonts w:ascii="Times New Roman" w:hAnsi="Times New Roman" w:cs="Times New Roman"/>
          <w:sz w:val="24"/>
          <w:szCs w:val="24"/>
        </w:rPr>
        <w:t xml:space="preserve"> variedade de questões que envolvem a atuação do profissional de psicologia,</w:t>
      </w:r>
      <w:r>
        <w:rPr>
          <w:rFonts w:ascii="Times New Roman" w:hAnsi="Times New Roman" w:cs="Times New Roman"/>
          <w:sz w:val="24"/>
          <w:szCs w:val="24"/>
        </w:rPr>
        <w:t xml:space="preserve"> em suas mais diversas ênfases – processos de avaliação psicológica, educativos, gestão e promoção de saúde –, recortamos para essa pesquisa os processos clínicos, mas especificamente o olhar do clínico frente as questões de racismo.</w:t>
      </w:r>
      <w:r w:rsidRPr="00224E29">
        <w:rPr>
          <w:rFonts w:ascii="Times New Roman" w:hAnsi="Times New Roman" w:cs="Times New Roman"/>
          <w:sz w:val="24"/>
          <w:szCs w:val="24"/>
        </w:rPr>
        <w:t xml:space="preserve"> </w:t>
      </w:r>
      <w:r>
        <w:rPr>
          <w:rFonts w:ascii="Times New Roman" w:hAnsi="Times New Roman" w:cs="Times New Roman"/>
          <w:sz w:val="24"/>
          <w:szCs w:val="24"/>
        </w:rPr>
        <w:t>E</w:t>
      </w:r>
      <w:r w:rsidRPr="00224E29">
        <w:rPr>
          <w:rFonts w:ascii="Times New Roman" w:hAnsi="Times New Roman" w:cs="Times New Roman"/>
          <w:sz w:val="24"/>
          <w:szCs w:val="24"/>
        </w:rPr>
        <w:t>mbasados nos estudos de Aníbal Quijano (1928-2018) sobre a colonialidade, procuramos retomar o atravessamento das questões raciais na construção da subjetividade e na produção de sofrimento psíquico que aparecem na clínica, conjuntamente com a atuação do psicólogo frente a essas demandas. (QUINTERO, 2019).</w:t>
      </w:r>
    </w:p>
    <w:p w14:paraId="4F66D3C5" w14:textId="60B74BA5" w:rsidR="00C627F1" w:rsidRDefault="00C627F1" w:rsidP="00C627F1">
      <w:pPr>
        <w:spacing w:line="360" w:lineRule="auto"/>
        <w:ind w:firstLine="851"/>
        <w:jc w:val="both"/>
        <w:rPr>
          <w:rFonts w:ascii="Times New Roman" w:hAnsi="Times New Roman" w:cs="Times New Roman"/>
          <w:sz w:val="24"/>
          <w:szCs w:val="24"/>
        </w:rPr>
      </w:pPr>
      <w:r w:rsidRPr="009822CA">
        <w:rPr>
          <w:rFonts w:ascii="Times New Roman" w:hAnsi="Times New Roman" w:cs="Times New Roman"/>
          <w:sz w:val="24"/>
          <w:szCs w:val="24"/>
        </w:rPr>
        <w:t>Com os estudos sobre a colonialidade, surge a crítica ao eurocentrismo. Logo, foi revisitada a questão desse “poder na modernidade (MIGNOLO, 2017</w:t>
      </w:r>
      <w:r w:rsidR="0037517B">
        <w:rPr>
          <w:rFonts w:ascii="Times New Roman" w:hAnsi="Times New Roman" w:cs="Times New Roman"/>
          <w:sz w:val="24"/>
          <w:szCs w:val="24"/>
        </w:rPr>
        <w:t>:</w:t>
      </w:r>
      <w:r w:rsidRPr="009822CA">
        <w:rPr>
          <w:rFonts w:ascii="Times New Roman" w:hAnsi="Times New Roman" w:cs="Times New Roman"/>
          <w:sz w:val="24"/>
          <w:szCs w:val="24"/>
        </w:rPr>
        <w:t>35)”, que foi cartografado nesta pesquisa a partir da ausência de uma “literatura preta” no processo de formação em Psicologia no Brasil (PEREIRA, 2022). Essa ausência de referência coaduna com a lógica de dominação cultural que controla, a partir de pressupostos eurocêntricos, as subjetividades e a visão de ser humano racional, conforme encontrado com um dos entrevistados</w:t>
      </w:r>
      <w:r>
        <w:rPr>
          <w:rFonts w:ascii="Times New Roman" w:hAnsi="Times New Roman" w:cs="Times New Roman"/>
          <w:sz w:val="24"/>
          <w:szCs w:val="24"/>
        </w:rPr>
        <w:t>,</w:t>
      </w:r>
    </w:p>
    <w:p w14:paraId="36D6FA7E" w14:textId="77777777" w:rsidR="00C627F1" w:rsidRPr="00850E20" w:rsidRDefault="00C627F1" w:rsidP="00C627F1">
      <w:pPr>
        <w:spacing w:before="240" w:line="240" w:lineRule="auto"/>
        <w:ind w:left="2268"/>
        <w:jc w:val="both"/>
        <w:rPr>
          <w:rFonts w:ascii="Times New Roman" w:hAnsi="Times New Roman" w:cs="Times New Roman"/>
          <w:sz w:val="24"/>
          <w:szCs w:val="24"/>
        </w:rPr>
      </w:pPr>
      <w:r w:rsidRPr="00850E20">
        <w:rPr>
          <w:rFonts w:ascii="Times New Roman" w:hAnsi="Times New Roman" w:cs="Times New Roman"/>
          <w:iCs/>
        </w:rPr>
        <w:t>“Mas quando eu vou falar de sonho, por que que a primeira coisa que surge, que vem, é aquela coisa, nix, hipnos, morfeu, algo totalmente grego, romano, enfim, por que não uma galera mais afro, né? Quando eu vou falar de justiça, eu vou buscar outro deus, mas não Xangô, né? Então, sinto que tem sempre esse trabalho, né, para com o mundo, mas para consigo, de aceitar tudo isso antes de bancar no mundo, né? Porque é preciso coragem, eu diria, né? Para ser um homem preto, por exemplo, uma mulher preta sem uma máscara branca (Trecho retirado do encontro com N2...Psicólogo Preto...03 anos de atuação na clínica)”.</w:t>
      </w:r>
    </w:p>
    <w:p w14:paraId="70548A03" w14:textId="77777777" w:rsidR="00C627F1" w:rsidRPr="00224E29" w:rsidRDefault="00C627F1" w:rsidP="00C627F1">
      <w:pPr>
        <w:spacing w:before="240"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O pensamento decolonial e as reflexões antirracistas que começam a ser </w:t>
      </w:r>
      <w:r>
        <w:rPr>
          <w:rFonts w:ascii="Times New Roman" w:hAnsi="Times New Roman" w:cs="Times New Roman"/>
          <w:sz w:val="24"/>
          <w:szCs w:val="24"/>
        </w:rPr>
        <w:t>acompanhadas</w:t>
      </w:r>
      <w:r w:rsidRPr="00224E29">
        <w:rPr>
          <w:rFonts w:ascii="Times New Roman" w:hAnsi="Times New Roman" w:cs="Times New Roman"/>
          <w:sz w:val="24"/>
          <w:szCs w:val="24"/>
        </w:rPr>
        <w:t xml:space="preserve"> nessa pesquisa, objetivaram problematizar a manutenção epistemológica colonizadora</w:t>
      </w:r>
      <w:r>
        <w:rPr>
          <w:rFonts w:ascii="Times New Roman" w:hAnsi="Times New Roman" w:cs="Times New Roman"/>
          <w:sz w:val="24"/>
          <w:szCs w:val="24"/>
        </w:rPr>
        <w:t>.</w:t>
      </w:r>
      <w:r w:rsidRPr="00224E29">
        <w:rPr>
          <w:rFonts w:ascii="Times New Roman" w:hAnsi="Times New Roman" w:cs="Times New Roman"/>
          <w:sz w:val="24"/>
          <w:szCs w:val="24"/>
        </w:rPr>
        <w:t xml:space="preserve"> </w:t>
      </w:r>
      <w:r>
        <w:rPr>
          <w:rFonts w:ascii="Times New Roman" w:hAnsi="Times New Roman" w:cs="Times New Roman"/>
          <w:sz w:val="24"/>
          <w:szCs w:val="24"/>
        </w:rPr>
        <w:t>Busca-se</w:t>
      </w:r>
      <w:r w:rsidRPr="00224E29">
        <w:rPr>
          <w:rFonts w:ascii="Times New Roman" w:hAnsi="Times New Roman" w:cs="Times New Roman"/>
          <w:sz w:val="24"/>
          <w:szCs w:val="24"/>
        </w:rPr>
        <w:t xml:space="preserve"> reconhecer a violência colonial quando esbarramos em uma formação acadêmica e atuação clínica posterior</w:t>
      </w:r>
      <w:r>
        <w:rPr>
          <w:rFonts w:ascii="Times New Roman" w:hAnsi="Times New Roman" w:cs="Times New Roman"/>
          <w:sz w:val="24"/>
          <w:szCs w:val="24"/>
        </w:rPr>
        <w:t>,</w:t>
      </w:r>
      <w:r w:rsidRPr="00224E29">
        <w:rPr>
          <w:rFonts w:ascii="Times New Roman" w:hAnsi="Times New Roman" w:cs="Times New Roman"/>
          <w:sz w:val="24"/>
          <w:szCs w:val="24"/>
        </w:rPr>
        <w:t xml:space="preserve"> que não olha para as discussões raciais como sustentação da opressão e da colonialidade.</w:t>
      </w:r>
    </w:p>
    <w:p w14:paraId="763F97E9" w14:textId="77777777" w:rsidR="00C627F1"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A forma como os psicólogos compreendem o tema das questões raciais interfere diretamente na mediação do atendimento clínico psicoterapêutico. </w:t>
      </w:r>
    </w:p>
    <w:p w14:paraId="00B3CB8C" w14:textId="77777777" w:rsidR="00C627F1" w:rsidRPr="00850E20" w:rsidRDefault="00C627F1" w:rsidP="00C627F1">
      <w:pPr>
        <w:spacing w:line="240" w:lineRule="auto"/>
        <w:ind w:left="2268"/>
        <w:jc w:val="both"/>
        <w:rPr>
          <w:rFonts w:ascii="Times New Roman" w:hAnsi="Times New Roman" w:cs="Times New Roman"/>
          <w:iCs/>
          <w:sz w:val="20"/>
          <w:szCs w:val="20"/>
        </w:rPr>
      </w:pPr>
      <w:r w:rsidRPr="00850E20">
        <w:rPr>
          <w:rFonts w:ascii="Times New Roman" w:hAnsi="Times New Roman" w:cs="Times New Roman"/>
          <w:iCs/>
          <w:sz w:val="20"/>
          <w:szCs w:val="20"/>
        </w:rPr>
        <w:t>Eu fiquei pensando muito sobre isso quando você entrou em contato, e talvez eu não tivesse feito essa reflexão se a gente não tivesse tido esse contato. Eu me deparei pensando que eu não faço atendimento para pessoas negras...</w:t>
      </w:r>
      <w:r w:rsidRPr="00850E20">
        <w:rPr>
          <w:iCs/>
          <w:sz w:val="20"/>
          <w:szCs w:val="20"/>
        </w:rPr>
        <w:t xml:space="preserve"> </w:t>
      </w:r>
      <w:r w:rsidRPr="00850E20">
        <w:rPr>
          <w:rFonts w:ascii="Times New Roman" w:hAnsi="Times New Roman" w:cs="Times New Roman"/>
          <w:iCs/>
          <w:sz w:val="20"/>
          <w:szCs w:val="20"/>
        </w:rPr>
        <w:t>feito a minha monografia pautada no racismo estrutural, como branca a gente se percebe ainda fazendo esse tipo de, tendo esse tipo de comportamento e não percebendo onde essas pessoas estão (Trecho retirado do encontro com B1..Psicóloga....39 anos 5 anos de formada)</w:t>
      </w:r>
    </w:p>
    <w:p w14:paraId="57D2B02C" w14:textId="77777777" w:rsidR="00A81C5F" w:rsidRDefault="00C627F1" w:rsidP="00C627F1">
      <w:pPr>
        <w:spacing w:line="240" w:lineRule="auto"/>
        <w:ind w:left="2268"/>
        <w:jc w:val="both"/>
        <w:rPr>
          <w:rFonts w:ascii="Times New Roman" w:hAnsi="Times New Roman" w:cs="Times New Roman"/>
          <w:iCs/>
          <w:sz w:val="20"/>
          <w:szCs w:val="20"/>
        </w:rPr>
      </w:pPr>
      <w:r w:rsidRPr="00850E20">
        <w:rPr>
          <w:rFonts w:ascii="Times New Roman" w:hAnsi="Times New Roman" w:cs="Times New Roman"/>
          <w:iCs/>
          <w:sz w:val="20"/>
          <w:szCs w:val="20"/>
        </w:rPr>
        <w:t>E,</w:t>
      </w:r>
      <w:r w:rsidR="004223B5">
        <w:rPr>
          <w:rFonts w:ascii="Times New Roman" w:hAnsi="Times New Roman" w:cs="Times New Roman"/>
          <w:iCs/>
          <w:sz w:val="20"/>
          <w:szCs w:val="20"/>
        </w:rPr>
        <w:t xml:space="preserve"> </w:t>
      </w:r>
    </w:p>
    <w:p w14:paraId="32DD68D1" w14:textId="1B6DD066" w:rsidR="00C627F1" w:rsidRDefault="00A81C5F" w:rsidP="00A81C5F">
      <w:pPr>
        <w:spacing w:line="240" w:lineRule="auto"/>
        <w:ind w:left="2268"/>
        <w:jc w:val="both"/>
        <w:rPr>
          <w:rFonts w:ascii="Times New Roman" w:hAnsi="Times New Roman" w:cs="Times New Roman"/>
          <w:iCs/>
          <w:sz w:val="20"/>
          <w:szCs w:val="20"/>
        </w:rPr>
      </w:pPr>
      <w:r>
        <w:rPr>
          <w:rFonts w:ascii="Times New Roman" w:hAnsi="Times New Roman" w:cs="Times New Roman"/>
          <w:iCs/>
          <w:sz w:val="20"/>
          <w:szCs w:val="20"/>
        </w:rPr>
        <w:t>I</w:t>
      </w:r>
      <w:r w:rsidR="00C627F1" w:rsidRPr="00850E20">
        <w:rPr>
          <w:rFonts w:ascii="Times New Roman" w:hAnsi="Times New Roman" w:cs="Times New Roman"/>
          <w:iCs/>
          <w:sz w:val="20"/>
          <w:szCs w:val="20"/>
        </w:rPr>
        <w:t>nclusive, o meu doutorado foi sobre identidade negra e eu na época acompanhei grupos de mulheres negras, né, de jovens cotistas...</w:t>
      </w:r>
      <w:r w:rsidR="00C627F1" w:rsidRPr="00850E20">
        <w:rPr>
          <w:sz w:val="20"/>
          <w:szCs w:val="20"/>
        </w:rPr>
        <w:t xml:space="preserve"> </w:t>
      </w:r>
      <w:r w:rsidR="00C627F1" w:rsidRPr="00850E20">
        <w:rPr>
          <w:rFonts w:ascii="Times New Roman" w:hAnsi="Times New Roman" w:cs="Times New Roman"/>
          <w:iCs/>
          <w:sz w:val="20"/>
          <w:szCs w:val="20"/>
        </w:rPr>
        <w:t>Por exemplo, eu dentro dessas comunidades, eu era vista como branca, né, então eles achavam que eu, por exemplo, não poderia estudar identidade negra não sendo negra...</w:t>
      </w:r>
      <w:r w:rsidR="00C627F1" w:rsidRPr="00850E20">
        <w:rPr>
          <w:sz w:val="20"/>
          <w:szCs w:val="20"/>
        </w:rPr>
        <w:t xml:space="preserve"> </w:t>
      </w:r>
      <w:r w:rsidR="00C627F1" w:rsidRPr="00850E20">
        <w:rPr>
          <w:rFonts w:ascii="Times New Roman" w:hAnsi="Times New Roman" w:cs="Times New Roman"/>
          <w:iCs/>
          <w:sz w:val="20"/>
          <w:szCs w:val="20"/>
        </w:rPr>
        <w:t>Eu não tenho uma opinião, eu não sei se eu acho que precisaria ter mais pessoas negras, realmente, mas eu não acho que deveria ser exclusivo, pessoas negras atendendo pessoas negras, entendeu? (Trecho retirado do encontro com N1 ...50 anos...20 anos de atuação)</w:t>
      </w:r>
      <w:r w:rsidR="00E71487">
        <w:rPr>
          <w:rFonts w:ascii="Times New Roman" w:hAnsi="Times New Roman" w:cs="Times New Roman"/>
          <w:iCs/>
          <w:sz w:val="20"/>
          <w:szCs w:val="20"/>
        </w:rPr>
        <w:t>.</w:t>
      </w:r>
    </w:p>
    <w:p w14:paraId="54232602" w14:textId="77777777" w:rsidR="00E71487" w:rsidRPr="00850E20" w:rsidRDefault="00E71487" w:rsidP="00E71487">
      <w:pPr>
        <w:spacing w:after="0" w:line="240" w:lineRule="auto"/>
        <w:ind w:left="2268"/>
        <w:jc w:val="both"/>
        <w:rPr>
          <w:rFonts w:ascii="Times New Roman" w:hAnsi="Times New Roman" w:cs="Times New Roman"/>
          <w:iCs/>
          <w:sz w:val="20"/>
          <w:szCs w:val="20"/>
        </w:rPr>
      </w:pPr>
    </w:p>
    <w:p w14:paraId="730AE5A3" w14:textId="77777777" w:rsidR="00C627F1" w:rsidRDefault="00C627F1" w:rsidP="00C627F1">
      <w:pPr>
        <w:spacing w:after="0" w:line="360" w:lineRule="auto"/>
        <w:ind w:firstLine="851"/>
        <w:jc w:val="both"/>
        <w:rPr>
          <w:rFonts w:ascii="Times New Roman" w:hAnsi="Times New Roman" w:cs="Times New Roman"/>
          <w:sz w:val="24"/>
          <w:szCs w:val="24"/>
        </w:rPr>
      </w:pPr>
      <w:r w:rsidRPr="00303A06">
        <w:rPr>
          <w:rFonts w:ascii="Times New Roman" w:hAnsi="Times New Roman" w:cs="Times New Roman"/>
          <w:sz w:val="24"/>
          <w:szCs w:val="24"/>
        </w:rPr>
        <w:t>É importante destacar que duas pesquisadoras (uma em trabalho de conclusão de curso e a outra em tese de doutoramento), autodeclaradas brancas, ao utilizarem o tema do racismo estrutural e da identidade negra, não conseguem se apropriar da potência educativa de seus escritos. Elas não percebem que o dispositivo de racialidade (CARNEIRO, 2023), partindo da lógica da subalternidade, produz uma negação e interdição de saberes, ao não permitir que aqueles que foram subalternizados falem.</w:t>
      </w:r>
      <w:r>
        <w:rPr>
          <w:rFonts w:ascii="Times New Roman" w:hAnsi="Times New Roman" w:cs="Times New Roman"/>
          <w:sz w:val="24"/>
          <w:szCs w:val="24"/>
        </w:rPr>
        <w:t xml:space="preserve">  </w:t>
      </w:r>
      <w:r w:rsidRPr="00303A06">
        <w:rPr>
          <w:rFonts w:ascii="Times New Roman" w:hAnsi="Times New Roman" w:cs="Times New Roman"/>
          <w:sz w:val="24"/>
          <w:szCs w:val="24"/>
        </w:rPr>
        <w:t>Além disso, elas produzem saberes, poderes e narrativas que atendem às lógicas do mercado acadêmico, em termos de direitos humanos e diversidade, mas suas práticas continuam muito próximas das lógicas colonizadoras.</w:t>
      </w:r>
    </w:p>
    <w:p w14:paraId="0418A042" w14:textId="77777777" w:rsidR="00C627F1" w:rsidRDefault="00C627F1" w:rsidP="00C627F1">
      <w:pPr>
        <w:spacing w:after="0" w:line="360" w:lineRule="auto"/>
        <w:ind w:firstLine="851"/>
        <w:jc w:val="both"/>
        <w:rPr>
          <w:rFonts w:ascii="Times New Roman" w:hAnsi="Times New Roman" w:cs="Times New Roman"/>
          <w:sz w:val="24"/>
          <w:szCs w:val="24"/>
        </w:rPr>
      </w:pPr>
      <w:r w:rsidRPr="00F60BB9">
        <w:rPr>
          <w:rFonts w:ascii="Times New Roman" w:hAnsi="Times New Roman" w:cs="Times New Roman"/>
          <w:sz w:val="24"/>
          <w:szCs w:val="24"/>
        </w:rPr>
        <w:t>Nesse caso específico, a produção desses trabalhos (TCC e tese de doutorado), da maneira como foram aplicados no cotidiano, reforça a exclusão acadêmica. Eles promovem a inscrição do sujeito negro na esfera do "não ser", tornando-o um objeto de estudo. Com isso, esses trabalhos podem (mesmo sem a intenção) contribuir para o imaginário social de subalternização dos negros e a superioridade dos brancos. Não é comum encontrarmos pessoas negras, com sua devida consciência de classe e resistência, escrevendo e colocando os brancos no lugar de objeto de pesquisa.</w:t>
      </w:r>
    </w:p>
    <w:p w14:paraId="3FC8AD6A"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Fanon (1983), destaca como as vivências frequentes do racismo produzem a perda do indivíduo e um grande sofrimento psíquico. Com isso, o cuidado em saúde mental precisa levar em consideração as dimensões sociais e raciais frente a este sofrimento, percebendo como se dão estes atravessamentos raciais na vida do sujeito dentro e fora da clínica psicológica.  Foi nesse sentido, que o fundamento dessa pesquisa se estabeleceu: o de conhecer a experiência do psicólogo clínico em relação ao atendimento da população negra, buscando compreender como essa questão vem atravessando a clínica nos últimos anos.</w:t>
      </w:r>
    </w:p>
    <w:p w14:paraId="10B18025" w14:textId="77777777" w:rsidR="00C627F1" w:rsidRPr="00224E29" w:rsidRDefault="00C627F1" w:rsidP="00C627F1">
      <w:pPr>
        <w:pBdr>
          <w:top w:val="nil"/>
          <w:left w:val="nil"/>
          <w:bottom w:val="nil"/>
          <w:right w:val="nil"/>
          <w:between w:val="nil"/>
        </w:pBdr>
        <w:tabs>
          <w:tab w:val="right" w:pos="9143"/>
        </w:tabs>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Tendo como objetivo identificar em que medida os profissionais de psicologia estão preparados na formação e na prática, para reconhecer e atuar quando as questões raciais atravessam a clínica e, como eles se posicionam frente às questões raciais na clínica. Assim como, analisar como esse profissional compreende o racismo; se existe um perfil que esteja mais preparado para lidar com essa questão e verificar se a falta de letramento racial é um impedidor de manejo adequado. Além disso, até por conta de uma escolha metodológica</w:t>
      </w:r>
      <w:r>
        <w:rPr>
          <w:rFonts w:ascii="Times New Roman" w:hAnsi="Times New Roman" w:cs="Times New Roman"/>
          <w:sz w:val="24"/>
          <w:szCs w:val="24"/>
        </w:rPr>
        <w:t>,</w:t>
      </w:r>
      <w:r w:rsidRPr="00224E29">
        <w:rPr>
          <w:rFonts w:ascii="Times New Roman" w:hAnsi="Times New Roman" w:cs="Times New Roman"/>
          <w:sz w:val="24"/>
          <w:szCs w:val="24"/>
        </w:rPr>
        <w:t xml:space="preserve"> a cartografia, acompanhar os abismos estabelecidos entre os discursos e práticas das psicólogas (os).</w:t>
      </w:r>
    </w:p>
    <w:p w14:paraId="048DCD9B" w14:textId="77777777" w:rsidR="00C627F1" w:rsidRDefault="00C627F1" w:rsidP="00C627F1">
      <w:pPr>
        <w:pBdr>
          <w:top w:val="nil"/>
          <w:left w:val="nil"/>
          <w:bottom w:val="nil"/>
          <w:right w:val="nil"/>
          <w:between w:val="nil"/>
        </w:pBdr>
        <w:tabs>
          <w:tab w:val="right" w:pos="9143"/>
        </w:tabs>
        <w:spacing w:after="0" w:line="360" w:lineRule="auto"/>
        <w:ind w:firstLine="851"/>
        <w:jc w:val="both"/>
        <w:rPr>
          <w:rFonts w:ascii="Times New Roman" w:hAnsi="Times New Roman" w:cs="Times New Roman"/>
          <w:color w:val="000000"/>
          <w:sz w:val="24"/>
          <w:szCs w:val="24"/>
        </w:rPr>
      </w:pPr>
      <w:r w:rsidRPr="00224E29">
        <w:rPr>
          <w:rFonts w:ascii="Times New Roman" w:hAnsi="Times New Roman" w:cs="Times New Roman"/>
          <w:color w:val="000000"/>
          <w:sz w:val="24"/>
          <w:szCs w:val="24"/>
        </w:rPr>
        <w:t>A importância dessa pesquisa se deu pelo contexto em que o sofrimento relatado nem sempre é levado em consideração, sendo este sofrimento psíquico muitas vezes desconsiderado e atrelado a origem a outros âmbitos sociais.</w:t>
      </w:r>
      <w:r>
        <w:rPr>
          <w:rFonts w:ascii="Times New Roman" w:hAnsi="Times New Roman" w:cs="Times New Roman"/>
          <w:color w:val="000000"/>
          <w:sz w:val="24"/>
          <w:szCs w:val="24"/>
        </w:rPr>
        <w:t xml:space="preserve"> É novamente equiparar uma depressão advinda de um luto de um ente querido, que é uma questão da ordem da intimidade da relação, a uma depressão por toda uma violência racial historicamente construída, que é uma questão de ordem política. Ou seja, em ambos os casos, falamos de pressão, mas elas são originalmente distintas em suas produções.</w:t>
      </w:r>
      <w:r w:rsidRPr="00224E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Como um diálogo a seguir:</w:t>
      </w:r>
    </w:p>
    <w:p w14:paraId="4F1575B2" w14:textId="77777777" w:rsidR="00C627F1" w:rsidRPr="00850E20" w:rsidRDefault="00C627F1" w:rsidP="00C627F1">
      <w:pPr>
        <w:pBdr>
          <w:top w:val="nil"/>
          <w:left w:val="nil"/>
          <w:bottom w:val="nil"/>
          <w:right w:val="nil"/>
          <w:between w:val="nil"/>
        </w:pBdr>
        <w:tabs>
          <w:tab w:val="right" w:pos="9143"/>
        </w:tabs>
        <w:spacing w:after="0" w:line="240" w:lineRule="auto"/>
        <w:ind w:left="2268"/>
        <w:jc w:val="both"/>
        <w:rPr>
          <w:rFonts w:ascii="Times New Roman" w:hAnsi="Times New Roman" w:cs="Times New Roman"/>
          <w:iCs/>
          <w:color w:val="000000"/>
          <w:sz w:val="20"/>
          <w:szCs w:val="20"/>
        </w:rPr>
      </w:pPr>
      <w:r w:rsidRPr="00850E20">
        <w:rPr>
          <w:rFonts w:ascii="Times New Roman" w:hAnsi="Times New Roman" w:cs="Times New Roman"/>
          <w:iCs/>
          <w:color w:val="000000"/>
          <w:sz w:val="20"/>
          <w:szCs w:val="20"/>
        </w:rPr>
        <w:t>Pesquisador: Como você lida com essas questões que eles trazem sobre a cor deles, sobre questões às vezes que eles nem percebem, mas que aparecem ali naquele contexto da clínica?</w:t>
      </w:r>
    </w:p>
    <w:p w14:paraId="055104F6" w14:textId="77777777" w:rsidR="00C627F1" w:rsidRPr="00850E20" w:rsidRDefault="00C627F1" w:rsidP="00C627F1">
      <w:pPr>
        <w:pBdr>
          <w:top w:val="nil"/>
          <w:left w:val="nil"/>
          <w:bottom w:val="nil"/>
          <w:right w:val="nil"/>
          <w:between w:val="nil"/>
        </w:pBdr>
        <w:tabs>
          <w:tab w:val="right" w:pos="9143"/>
        </w:tabs>
        <w:spacing w:after="0" w:line="240" w:lineRule="auto"/>
        <w:ind w:left="2268"/>
        <w:jc w:val="both"/>
        <w:rPr>
          <w:rFonts w:ascii="Times New Roman" w:hAnsi="Times New Roman" w:cs="Times New Roman"/>
          <w:iCs/>
          <w:color w:val="000000"/>
          <w:sz w:val="20"/>
          <w:szCs w:val="20"/>
        </w:rPr>
      </w:pPr>
      <w:r w:rsidRPr="00850E20">
        <w:rPr>
          <w:rFonts w:ascii="Times New Roman" w:hAnsi="Times New Roman" w:cs="Times New Roman"/>
          <w:iCs/>
          <w:color w:val="000000"/>
          <w:sz w:val="20"/>
          <w:szCs w:val="20"/>
        </w:rPr>
        <w:t>Entrevistada:  Da maneira como a gente trata qualquer outra coisa, né? Podemos tratar o racismo como essas questões, como a gente trataria o trauma (B2...47 anos 04 anos de atuação)</w:t>
      </w:r>
    </w:p>
    <w:p w14:paraId="1037F5EF" w14:textId="77777777" w:rsidR="00C627F1" w:rsidRDefault="00C627F1" w:rsidP="00E71487">
      <w:pPr>
        <w:pBdr>
          <w:top w:val="nil"/>
          <w:left w:val="nil"/>
          <w:bottom w:val="nil"/>
          <w:right w:val="nil"/>
          <w:between w:val="nil"/>
        </w:pBdr>
        <w:tabs>
          <w:tab w:val="right" w:pos="9143"/>
        </w:tabs>
        <w:spacing w:after="0" w:line="240" w:lineRule="auto"/>
        <w:ind w:firstLine="720"/>
        <w:jc w:val="both"/>
        <w:rPr>
          <w:rFonts w:ascii="Times New Roman" w:hAnsi="Times New Roman" w:cs="Times New Roman"/>
          <w:color w:val="000000"/>
          <w:sz w:val="24"/>
          <w:szCs w:val="24"/>
        </w:rPr>
      </w:pPr>
    </w:p>
    <w:p w14:paraId="4DE29DE0" w14:textId="77777777" w:rsidR="00C627F1" w:rsidRPr="00224E29" w:rsidRDefault="00C627F1" w:rsidP="00C627F1">
      <w:pPr>
        <w:pBdr>
          <w:top w:val="nil"/>
          <w:left w:val="nil"/>
          <w:bottom w:val="nil"/>
          <w:right w:val="nil"/>
          <w:between w:val="nil"/>
        </w:pBdr>
        <w:tabs>
          <w:tab w:val="right" w:pos="9143"/>
        </w:tabs>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224E29">
        <w:rPr>
          <w:rFonts w:ascii="Times New Roman" w:hAnsi="Times New Roman" w:cs="Times New Roman"/>
          <w:color w:val="000000"/>
          <w:sz w:val="24"/>
          <w:szCs w:val="24"/>
        </w:rPr>
        <w:t>ofrimentos gerados a partir de exclusão social e violências raciais, são diagnosticados</w:t>
      </w:r>
      <w:r>
        <w:rPr>
          <w:rFonts w:ascii="Times New Roman" w:hAnsi="Times New Roman" w:cs="Times New Roman"/>
          <w:color w:val="000000"/>
          <w:sz w:val="24"/>
          <w:szCs w:val="24"/>
        </w:rPr>
        <w:t xml:space="preserve"> equivocadamente </w:t>
      </w:r>
      <w:r w:rsidRPr="00224E29">
        <w:rPr>
          <w:rFonts w:ascii="Times New Roman" w:hAnsi="Times New Roman" w:cs="Times New Roman"/>
          <w:color w:val="000000"/>
          <w:sz w:val="24"/>
          <w:szCs w:val="24"/>
        </w:rPr>
        <w:t>em termos clínicos com uma depressão do sujeito, ou seja, aquilo que tem base estrutural em termos sociais é atribuído, individualizado ao sujeito</w:t>
      </w:r>
      <w:r>
        <w:rPr>
          <w:rFonts w:ascii="Times New Roman" w:hAnsi="Times New Roman" w:cs="Times New Roman"/>
          <w:color w:val="000000"/>
          <w:sz w:val="24"/>
          <w:szCs w:val="24"/>
        </w:rPr>
        <w:t xml:space="preserve"> </w:t>
      </w:r>
      <w:r w:rsidRPr="00224E29">
        <w:rPr>
          <w:rFonts w:ascii="Times New Roman" w:hAnsi="Times New Roman" w:cs="Times New Roman"/>
          <w:color w:val="000000"/>
          <w:sz w:val="24"/>
          <w:szCs w:val="24"/>
        </w:rPr>
        <w:t>(V</w:t>
      </w:r>
      <w:r>
        <w:rPr>
          <w:rFonts w:ascii="Times New Roman" w:hAnsi="Times New Roman" w:cs="Times New Roman"/>
          <w:color w:val="000000"/>
          <w:sz w:val="24"/>
          <w:szCs w:val="24"/>
        </w:rPr>
        <w:t>EIGA</w:t>
      </w:r>
      <w:r w:rsidRPr="00224E29">
        <w:rPr>
          <w:rFonts w:ascii="Times New Roman" w:hAnsi="Times New Roman" w:cs="Times New Roman"/>
          <w:color w:val="000000"/>
          <w:sz w:val="24"/>
          <w:szCs w:val="24"/>
        </w:rPr>
        <w:t xml:space="preserve">, 2022). Sendo assim, uma compreensão mais profunda sobre os atravessamentos raciais na clínica psicológica é crucial para a promoção de saúde e um tratamento mais humanizado e sensível voltado para o sujeito. </w:t>
      </w:r>
    </w:p>
    <w:p w14:paraId="09CF823B" w14:textId="77777777" w:rsidR="00C627F1" w:rsidRPr="00224E29" w:rsidRDefault="00C627F1" w:rsidP="00C627F1">
      <w:pPr>
        <w:pBdr>
          <w:top w:val="nil"/>
          <w:left w:val="nil"/>
          <w:bottom w:val="nil"/>
          <w:right w:val="nil"/>
          <w:between w:val="nil"/>
        </w:pBdr>
        <w:tabs>
          <w:tab w:val="right" w:pos="9143"/>
        </w:tabs>
        <w:spacing w:after="0" w:line="360" w:lineRule="auto"/>
        <w:ind w:firstLine="851"/>
        <w:jc w:val="both"/>
        <w:rPr>
          <w:rFonts w:ascii="Times New Roman" w:hAnsi="Times New Roman" w:cs="Times New Roman"/>
          <w:color w:val="000000"/>
          <w:sz w:val="24"/>
          <w:szCs w:val="24"/>
        </w:rPr>
      </w:pPr>
      <w:r w:rsidRPr="00224E29">
        <w:rPr>
          <w:rFonts w:ascii="Times New Roman" w:hAnsi="Times New Roman" w:cs="Times New Roman"/>
          <w:color w:val="000000"/>
          <w:sz w:val="24"/>
          <w:szCs w:val="24"/>
        </w:rPr>
        <w:t>Esta pesquisa teve implicações significativas em compreender a importância da psicologia diante dos grupos de minoria</w:t>
      </w:r>
      <w:r w:rsidRPr="00224E29">
        <w:rPr>
          <w:rFonts w:ascii="Times New Roman" w:hAnsi="Times New Roman" w:cs="Times New Roman"/>
          <w:color w:val="000000"/>
          <w:sz w:val="24"/>
          <w:szCs w:val="24"/>
          <w:vertAlign w:val="superscript"/>
        </w:rPr>
        <w:footnoteReference w:id="1"/>
      </w:r>
      <w:r w:rsidRPr="00224E29">
        <w:rPr>
          <w:rFonts w:ascii="Times New Roman" w:hAnsi="Times New Roman" w:cs="Times New Roman"/>
          <w:color w:val="000000"/>
          <w:sz w:val="24"/>
          <w:szCs w:val="24"/>
        </w:rPr>
        <w:t xml:space="preserve">, tendo como foco a população negra, e os impactos sobre a saúde mental destes indivíduos, podendo influenciar diretamente na maneira que experienciam o mundo. Sendo assim, esteve em foco um trabalho voltado para o entendimento da atuação do psicólogo na clínica psicológica diante de questões raciais e seus impactos que atravessam o sujeito. </w:t>
      </w:r>
    </w:p>
    <w:p w14:paraId="78C3BB77" w14:textId="77777777" w:rsidR="00C627F1" w:rsidRDefault="00C627F1" w:rsidP="00C627F1">
      <w:pPr>
        <w:pBdr>
          <w:top w:val="nil"/>
          <w:left w:val="nil"/>
          <w:bottom w:val="nil"/>
          <w:right w:val="nil"/>
          <w:between w:val="nil"/>
        </w:pBdr>
        <w:tabs>
          <w:tab w:val="right" w:pos="9143"/>
        </w:tabs>
        <w:spacing w:line="360" w:lineRule="auto"/>
        <w:ind w:firstLine="851"/>
        <w:jc w:val="both"/>
        <w:rPr>
          <w:rFonts w:ascii="Times New Roman" w:hAnsi="Times New Roman" w:cs="Times New Roman"/>
          <w:color w:val="000000"/>
          <w:sz w:val="24"/>
          <w:szCs w:val="24"/>
        </w:rPr>
      </w:pPr>
      <w:r w:rsidRPr="00224E29">
        <w:rPr>
          <w:rFonts w:ascii="Times New Roman" w:hAnsi="Times New Roman" w:cs="Times New Roman"/>
          <w:color w:val="000000"/>
          <w:sz w:val="24"/>
          <w:szCs w:val="24"/>
        </w:rPr>
        <w:t>Partindo de autores como Neusa Santos (1983)</w:t>
      </w:r>
      <w:r>
        <w:rPr>
          <w:rFonts w:ascii="Times New Roman" w:hAnsi="Times New Roman" w:cs="Times New Roman"/>
          <w:color w:val="000000"/>
          <w:sz w:val="24"/>
          <w:szCs w:val="24"/>
        </w:rPr>
        <w:t>,</w:t>
      </w:r>
      <w:r w:rsidRPr="00224E29">
        <w:rPr>
          <w:rFonts w:ascii="Times New Roman" w:hAnsi="Times New Roman" w:cs="Times New Roman"/>
          <w:color w:val="000000"/>
          <w:sz w:val="24"/>
          <w:szCs w:val="24"/>
        </w:rPr>
        <w:t xml:space="preserve"> Grada Kilomba (2008)</w:t>
      </w:r>
      <w:r>
        <w:rPr>
          <w:rFonts w:ascii="Times New Roman" w:hAnsi="Times New Roman" w:cs="Times New Roman"/>
          <w:color w:val="000000"/>
          <w:sz w:val="24"/>
          <w:szCs w:val="24"/>
        </w:rPr>
        <w:t>,</w:t>
      </w:r>
      <w:r w:rsidRPr="00224E29">
        <w:rPr>
          <w:rFonts w:ascii="Times New Roman" w:hAnsi="Times New Roman" w:cs="Times New Roman"/>
          <w:color w:val="000000"/>
          <w:sz w:val="24"/>
          <w:szCs w:val="24"/>
        </w:rPr>
        <w:t xml:space="preserve"> Frantz Fanon (2008)</w:t>
      </w:r>
      <w:r>
        <w:rPr>
          <w:rFonts w:ascii="Times New Roman" w:hAnsi="Times New Roman" w:cs="Times New Roman"/>
          <w:color w:val="000000"/>
          <w:sz w:val="24"/>
          <w:szCs w:val="24"/>
        </w:rPr>
        <w:t>,</w:t>
      </w:r>
      <w:r w:rsidRPr="00224E29">
        <w:rPr>
          <w:rFonts w:ascii="Times New Roman" w:hAnsi="Times New Roman" w:cs="Times New Roman"/>
          <w:sz w:val="24"/>
          <w:szCs w:val="24"/>
        </w:rPr>
        <w:t xml:space="preserve"> </w:t>
      </w:r>
      <w:r w:rsidRPr="00224E29">
        <w:rPr>
          <w:rFonts w:ascii="Times New Roman" w:hAnsi="Times New Roman" w:cs="Times New Roman"/>
          <w:color w:val="000000"/>
          <w:sz w:val="24"/>
          <w:szCs w:val="24"/>
        </w:rPr>
        <w:t>Djamila Ribeiro (2019)</w:t>
      </w:r>
      <w:r>
        <w:rPr>
          <w:rFonts w:ascii="Times New Roman" w:hAnsi="Times New Roman" w:cs="Times New Roman"/>
          <w:color w:val="000000"/>
          <w:sz w:val="24"/>
          <w:szCs w:val="24"/>
        </w:rPr>
        <w:t xml:space="preserve"> e</w:t>
      </w:r>
      <w:r w:rsidRPr="00224E29">
        <w:rPr>
          <w:rFonts w:ascii="Times New Roman" w:hAnsi="Times New Roman" w:cs="Times New Roman"/>
          <w:color w:val="000000"/>
          <w:sz w:val="24"/>
          <w:szCs w:val="24"/>
        </w:rPr>
        <w:t xml:space="preserve"> Cida Bento (2022),  foram construídos dois capítulos teóricos para sustentar com sensibilidade a temática abordada “</w:t>
      </w:r>
      <w:r w:rsidRPr="00224E29">
        <w:rPr>
          <w:rFonts w:ascii="Times New Roman" w:hAnsi="Times New Roman" w:cs="Times New Roman"/>
          <w:i/>
          <w:iCs/>
          <w:color w:val="000000"/>
          <w:sz w:val="24"/>
          <w:szCs w:val="24"/>
        </w:rPr>
        <w:t>A clínica psicológica e a desconstrução de uma racionalidade colonial</w:t>
      </w:r>
      <w:r w:rsidRPr="00224E29">
        <w:rPr>
          <w:rFonts w:ascii="Times New Roman" w:hAnsi="Times New Roman" w:cs="Times New Roman"/>
          <w:color w:val="000000"/>
          <w:sz w:val="24"/>
          <w:szCs w:val="24"/>
        </w:rPr>
        <w:t>” e “</w:t>
      </w:r>
      <w:r w:rsidRPr="00224E29">
        <w:rPr>
          <w:rFonts w:ascii="Times New Roman" w:hAnsi="Times New Roman" w:cs="Times New Roman"/>
          <w:i/>
          <w:iCs/>
          <w:color w:val="000000"/>
          <w:sz w:val="24"/>
          <w:szCs w:val="24"/>
        </w:rPr>
        <w:t>A clínica psicológica e os dispositivos de racialidade</w:t>
      </w:r>
      <w:r w:rsidRPr="00224E29">
        <w:rPr>
          <w:rFonts w:ascii="Times New Roman" w:hAnsi="Times New Roman" w:cs="Times New Roman"/>
          <w:color w:val="000000"/>
          <w:sz w:val="24"/>
          <w:szCs w:val="24"/>
        </w:rPr>
        <w:t xml:space="preserve">”, onde versam sobre questões como a formação crítica em psicologia, a ausência de produção de saber por referências negras, a violência da hierarquização acadêmica, a descolonização do imaginário, interseccionalidade, letramento racial, entre outros. </w:t>
      </w:r>
    </w:p>
    <w:p w14:paraId="07FBC09D" w14:textId="13C28F6B" w:rsidR="00C627F1" w:rsidRPr="005A276C" w:rsidRDefault="00C627F1" w:rsidP="00C627F1">
      <w:pPr>
        <w:pBdr>
          <w:top w:val="nil"/>
          <w:left w:val="nil"/>
          <w:bottom w:val="nil"/>
          <w:right w:val="nil"/>
          <w:between w:val="nil"/>
        </w:pBdr>
        <w:tabs>
          <w:tab w:val="right" w:pos="9143"/>
        </w:tabs>
        <w:spacing w:before="240" w:line="240" w:lineRule="auto"/>
        <w:ind w:left="2268"/>
        <w:jc w:val="both"/>
        <w:rPr>
          <w:rFonts w:ascii="Times New Roman" w:hAnsi="Times New Roman" w:cs="Times New Roman"/>
          <w:color w:val="000000"/>
          <w:sz w:val="20"/>
          <w:szCs w:val="20"/>
        </w:rPr>
      </w:pPr>
      <w:r w:rsidRPr="005A276C">
        <w:rPr>
          <w:rFonts w:ascii="Times New Roman" w:hAnsi="Times New Roman" w:cs="Times New Roman"/>
          <w:color w:val="000000"/>
          <w:sz w:val="20"/>
          <w:szCs w:val="20"/>
        </w:rPr>
        <w:t>A descoberta de ser negra é mais do que a constatação do obvio. Saber-se negra é viver a experiência de ter sido massacrada em sua identidade, confundida em suas perspectivas, submetida a exigências, compelida a expetativas alienadas. Mas também, e sobretudo, a experiencia de comprometer-se a resgatar sua história e recriar-se em suas potencialidades. Ser negro não é uma condição dada, a priori. É um vir a ser. Ser negro é tornar-se negro (</w:t>
      </w:r>
      <w:r w:rsidR="00205267" w:rsidRPr="005A276C">
        <w:rPr>
          <w:rFonts w:ascii="Times New Roman" w:hAnsi="Times New Roman" w:cs="Times New Roman"/>
          <w:color w:val="000000"/>
          <w:sz w:val="20"/>
          <w:szCs w:val="20"/>
        </w:rPr>
        <w:t>SOUSA</w:t>
      </w:r>
      <w:r w:rsidRPr="005A276C">
        <w:rPr>
          <w:rFonts w:ascii="Times New Roman" w:hAnsi="Times New Roman" w:cs="Times New Roman"/>
          <w:color w:val="000000"/>
          <w:sz w:val="20"/>
          <w:szCs w:val="20"/>
        </w:rPr>
        <w:t>, 1983</w:t>
      </w:r>
      <w:r w:rsidR="0027481C">
        <w:rPr>
          <w:rFonts w:ascii="Times New Roman" w:hAnsi="Times New Roman" w:cs="Times New Roman"/>
          <w:color w:val="000000"/>
          <w:sz w:val="20"/>
          <w:szCs w:val="20"/>
        </w:rPr>
        <w:t>:</w:t>
      </w:r>
      <w:r w:rsidRPr="005A276C">
        <w:rPr>
          <w:rFonts w:ascii="Times New Roman" w:hAnsi="Times New Roman" w:cs="Times New Roman"/>
          <w:color w:val="000000"/>
          <w:sz w:val="20"/>
          <w:szCs w:val="20"/>
        </w:rPr>
        <w:t>12).</w:t>
      </w:r>
    </w:p>
    <w:p w14:paraId="60190E97" w14:textId="0F62C8AC" w:rsidR="00C627F1" w:rsidRDefault="00C627F1" w:rsidP="00C627F1">
      <w:pPr>
        <w:pBdr>
          <w:top w:val="nil"/>
          <w:left w:val="nil"/>
          <w:bottom w:val="nil"/>
          <w:right w:val="nil"/>
          <w:between w:val="nil"/>
        </w:pBdr>
        <w:tabs>
          <w:tab w:val="right" w:pos="9143"/>
        </w:tabs>
        <w:spacing w:before="240" w:line="360" w:lineRule="auto"/>
        <w:ind w:firstLine="851"/>
        <w:jc w:val="both"/>
        <w:rPr>
          <w:rFonts w:ascii="Times New Roman" w:hAnsi="Times New Roman" w:cs="Times New Roman"/>
          <w:color w:val="000000"/>
          <w:sz w:val="24"/>
          <w:szCs w:val="24"/>
        </w:rPr>
      </w:pPr>
      <w:r w:rsidRPr="00224E29">
        <w:rPr>
          <w:rFonts w:ascii="Times New Roman" w:hAnsi="Times New Roman" w:cs="Times New Roman"/>
          <w:color w:val="000000"/>
          <w:sz w:val="24"/>
          <w:szCs w:val="24"/>
        </w:rPr>
        <w:t xml:space="preserve">Metodologicamente, optou-se por uma pesquisa de campo com inspiração cartográfica. Tratou-se de uma pesquisa com amostra por conveniência, selecionados a partir da técnica de </w:t>
      </w:r>
      <w:r w:rsidRPr="00224E29">
        <w:rPr>
          <w:rFonts w:ascii="Times New Roman" w:hAnsi="Times New Roman" w:cs="Times New Roman"/>
          <w:i/>
          <w:iCs/>
          <w:color w:val="000000"/>
          <w:sz w:val="24"/>
          <w:szCs w:val="24"/>
        </w:rPr>
        <w:t>SnowBall</w:t>
      </w:r>
      <w:r>
        <w:rPr>
          <w:rStyle w:val="Refdenotaderodap"/>
          <w:rFonts w:ascii="Times New Roman" w:hAnsi="Times New Roman" w:cs="Times New Roman"/>
          <w:i/>
          <w:iCs/>
          <w:color w:val="000000"/>
          <w:sz w:val="24"/>
          <w:szCs w:val="24"/>
        </w:rPr>
        <w:footnoteReference w:id="2"/>
      </w:r>
      <w:r w:rsidRPr="00224E29">
        <w:rPr>
          <w:rFonts w:ascii="Times New Roman" w:hAnsi="Times New Roman" w:cs="Times New Roman"/>
          <w:color w:val="000000"/>
          <w:sz w:val="24"/>
          <w:szCs w:val="24"/>
        </w:rPr>
        <w:t>, sendo utilizada uma entrevista semiestruturada e análises de conteúdo. A inspiração cartográfica se deu pela possibilidade de investigar compreensões e percepções que já estão em curso, isso porque, “a cartografia como método de pesquisa é traçada no plano da experiência acompanhando os efeitos do próprio percurso da investigação (</w:t>
      </w:r>
      <w:r w:rsidR="00205267" w:rsidRPr="00224E29">
        <w:rPr>
          <w:rFonts w:ascii="Times New Roman" w:hAnsi="Times New Roman" w:cs="Times New Roman"/>
          <w:color w:val="000000"/>
          <w:sz w:val="24"/>
          <w:szCs w:val="24"/>
        </w:rPr>
        <w:t>PASSOS; BARROS</w:t>
      </w:r>
      <w:r w:rsidRPr="00224E29">
        <w:rPr>
          <w:rFonts w:ascii="Times New Roman" w:hAnsi="Times New Roman" w:cs="Times New Roman"/>
          <w:color w:val="000000"/>
          <w:sz w:val="24"/>
          <w:szCs w:val="24"/>
        </w:rPr>
        <w:t>, 2020</w:t>
      </w:r>
      <w:r w:rsidR="00205267">
        <w:rPr>
          <w:rFonts w:ascii="Times New Roman" w:hAnsi="Times New Roman" w:cs="Times New Roman"/>
          <w:color w:val="000000"/>
          <w:sz w:val="24"/>
          <w:szCs w:val="24"/>
        </w:rPr>
        <w:t>:</w:t>
      </w:r>
      <w:r w:rsidRPr="00224E29">
        <w:rPr>
          <w:rFonts w:ascii="Times New Roman" w:hAnsi="Times New Roman" w:cs="Times New Roman"/>
          <w:color w:val="000000"/>
          <w:sz w:val="24"/>
          <w:szCs w:val="24"/>
        </w:rPr>
        <w:t>18)</w:t>
      </w:r>
      <w:r>
        <w:rPr>
          <w:rFonts w:ascii="Times New Roman" w:hAnsi="Times New Roman" w:cs="Times New Roman"/>
          <w:color w:val="000000"/>
          <w:sz w:val="24"/>
          <w:szCs w:val="24"/>
        </w:rPr>
        <w:t>.</w:t>
      </w:r>
      <w:r w:rsidRPr="00224E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P</w:t>
      </w:r>
      <w:r w:rsidRPr="00224E29">
        <w:rPr>
          <w:rFonts w:ascii="Times New Roman" w:hAnsi="Times New Roman" w:cs="Times New Roman"/>
          <w:color w:val="000000"/>
          <w:sz w:val="24"/>
          <w:szCs w:val="24"/>
        </w:rPr>
        <w:t xml:space="preserve">roporcionando assim, o desvelar de algumas questões sem pretender alcançar verdades completas e generalizantes, buscando tão somente compreender o que os sujeitos estão consideravam naquele momento e como seus discursos entrelaçam com suas práticas e possibilidades de avanços em termos de clínica psicológica. </w:t>
      </w:r>
    </w:p>
    <w:p w14:paraId="3C51A29A" w14:textId="6FFDBDD5" w:rsidR="00C627F1" w:rsidRDefault="00C627F1" w:rsidP="00C627F1">
      <w:pPr>
        <w:pBdr>
          <w:top w:val="nil"/>
          <w:left w:val="nil"/>
          <w:bottom w:val="nil"/>
          <w:right w:val="nil"/>
          <w:between w:val="nil"/>
        </w:pBdr>
        <w:tabs>
          <w:tab w:val="right" w:pos="9143"/>
        </w:tabs>
        <w:spacing w:before="240" w:line="240" w:lineRule="auto"/>
        <w:ind w:left="2268"/>
        <w:jc w:val="both"/>
        <w:rPr>
          <w:rFonts w:ascii="Times New Roman" w:hAnsi="Times New Roman" w:cs="Times New Roman"/>
          <w:color w:val="000000"/>
          <w:sz w:val="20"/>
          <w:szCs w:val="20"/>
        </w:rPr>
      </w:pPr>
      <w:r w:rsidRPr="00D037DE">
        <w:rPr>
          <w:rFonts w:ascii="Times New Roman" w:hAnsi="Times New Roman" w:cs="Times New Roman"/>
          <w:color w:val="000000"/>
          <w:sz w:val="20"/>
          <w:szCs w:val="20"/>
        </w:rPr>
        <w:t>É sobre a inseparabilidade entre conhecer e fazer, entre pesquisar e intervir: toda pesquisa é intervenção. Ela sempre se realiza por um mergulho na experiência que agencia sujeito e objeto, teoria e prática, num mesmo plano de produção (B</w:t>
      </w:r>
      <w:r>
        <w:rPr>
          <w:rFonts w:ascii="Times New Roman" w:hAnsi="Times New Roman" w:cs="Times New Roman"/>
          <w:color w:val="000000"/>
          <w:sz w:val="20"/>
          <w:szCs w:val="20"/>
        </w:rPr>
        <w:t>ARROS</w:t>
      </w:r>
      <w:r w:rsidRPr="00D037DE">
        <w:rPr>
          <w:rFonts w:ascii="Times New Roman" w:hAnsi="Times New Roman" w:cs="Times New Roman"/>
          <w:color w:val="000000"/>
          <w:sz w:val="20"/>
          <w:szCs w:val="20"/>
        </w:rPr>
        <w:t xml:space="preserve"> et al, 2009</w:t>
      </w:r>
      <w:r w:rsidR="0027481C">
        <w:rPr>
          <w:rFonts w:ascii="Times New Roman" w:hAnsi="Times New Roman" w:cs="Times New Roman"/>
          <w:color w:val="000000"/>
          <w:sz w:val="20"/>
          <w:szCs w:val="20"/>
        </w:rPr>
        <w:t>:</w:t>
      </w:r>
      <w:r w:rsidRPr="00D037DE">
        <w:rPr>
          <w:rFonts w:ascii="Times New Roman" w:hAnsi="Times New Roman" w:cs="Times New Roman"/>
          <w:color w:val="000000"/>
          <w:sz w:val="20"/>
          <w:szCs w:val="20"/>
        </w:rPr>
        <w:t>17)</w:t>
      </w:r>
    </w:p>
    <w:p w14:paraId="22D7CF6E" w14:textId="77777777" w:rsidR="00C627F1" w:rsidRDefault="00C627F1" w:rsidP="00C627F1">
      <w:pPr>
        <w:pBdr>
          <w:top w:val="nil"/>
          <w:left w:val="nil"/>
          <w:bottom w:val="nil"/>
          <w:right w:val="nil"/>
          <w:between w:val="nil"/>
        </w:pBdr>
        <w:tabs>
          <w:tab w:val="right" w:pos="9143"/>
        </w:tabs>
        <w:spacing w:before="240" w:after="0" w:line="360" w:lineRule="auto"/>
        <w:ind w:firstLine="851"/>
        <w:jc w:val="both"/>
        <w:rPr>
          <w:rFonts w:ascii="Times New Roman" w:hAnsi="Times New Roman" w:cs="Times New Roman"/>
          <w:color w:val="000000"/>
          <w:sz w:val="24"/>
          <w:szCs w:val="24"/>
        </w:rPr>
      </w:pPr>
      <w:r w:rsidRPr="00F60BB9">
        <w:rPr>
          <w:rFonts w:ascii="Times New Roman" w:hAnsi="Times New Roman" w:cs="Times New Roman"/>
          <w:color w:val="000000"/>
          <w:sz w:val="24"/>
          <w:szCs w:val="24"/>
        </w:rPr>
        <w:t>Em relação ao acompanhamento das entrevistas, os dados indicaram que a população negra é a que menos tem acesso ao acompanhamento psicológico por uma série de determinantes sociais, culturais e estruturais da sociedade, o que corrobora com estudos de Souza (1983) e Fanon (1983).</w:t>
      </w:r>
      <w:r>
        <w:rPr>
          <w:rFonts w:ascii="Times New Roman" w:hAnsi="Times New Roman" w:cs="Times New Roman"/>
          <w:color w:val="000000"/>
          <w:sz w:val="24"/>
          <w:szCs w:val="24"/>
        </w:rPr>
        <w:t xml:space="preserve"> </w:t>
      </w:r>
      <w:r w:rsidRPr="00F60BB9">
        <w:rPr>
          <w:rFonts w:ascii="Times New Roman" w:hAnsi="Times New Roman" w:cs="Times New Roman"/>
          <w:color w:val="000000"/>
          <w:sz w:val="24"/>
          <w:szCs w:val="24"/>
        </w:rPr>
        <w:t>Não ficou claro se existe um perfil de profissional mais adequado para atender a esse público, mas o que ficou evidente é a falta de letramento racial e de conhecimento por parte dos psicólogos sobre como as questões raciais atravessam a subjetividade. Isso, muitas vezes, produz sofrimento psíquico e um não avanço acadêmico em torno dessas questões.</w:t>
      </w:r>
    </w:p>
    <w:p w14:paraId="6BC4FF89" w14:textId="77777777" w:rsidR="00C627F1" w:rsidRPr="00224E29" w:rsidRDefault="00C627F1" w:rsidP="00C627F1">
      <w:pPr>
        <w:rPr>
          <w:rFonts w:ascii="Times New Roman" w:hAnsi="Times New Roman" w:cs="Times New Roman"/>
          <w:b/>
          <w:bCs/>
          <w:sz w:val="24"/>
          <w:szCs w:val="24"/>
        </w:rPr>
      </w:pPr>
      <w:r>
        <w:rPr>
          <w:rFonts w:ascii="Times New Roman" w:hAnsi="Times New Roman" w:cs="Times New Roman"/>
          <w:b/>
          <w:bCs/>
          <w:sz w:val="24"/>
          <w:szCs w:val="24"/>
        </w:rPr>
        <w:t>2.</w:t>
      </w:r>
      <w:r w:rsidRPr="00224E29">
        <w:rPr>
          <w:rFonts w:ascii="Times New Roman" w:hAnsi="Times New Roman" w:cs="Times New Roman"/>
          <w:b/>
          <w:bCs/>
          <w:sz w:val="24"/>
          <w:szCs w:val="24"/>
        </w:rPr>
        <w:t xml:space="preserve"> METODOLOGIA</w:t>
      </w:r>
    </w:p>
    <w:p w14:paraId="7F8C1F34" w14:textId="77777777" w:rsidR="00C627F1" w:rsidRPr="00224E29" w:rsidRDefault="00C627F1" w:rsidP="00C627F1">
      <w:pPr>
        <w:rPr>
          <w:rFonts w:ascii="Times New Roman" w:hAnsi="Times New Roman" w:cs="Times New Roman"/>
          <w:b/>
          <w:bCs/>
          <w:sz w:val="24"/>
          <w:szCs w:val="24"/>
        </w:rPr>
      </w:pPr>
      <w:r>
        <w:rPr>
          <w:rFonts w:ascii="Times New Roman" w:hAnsi="Times New Roman" w:cs="Times New Roman"/>
          <w:b/>
          <w:bCs/>
          <w:sz w:val="24"/>
          <w:szCs w:val="24"/>
        </w:rPr>
        <w:t xml:space="preserve">2.1 </w:t>
      </w:r>
      <w:r w:rsidRPr="00224E29">
        <w:rPr>
          <w:rFonts w:ascii="Times New Roman" w:hAnsi="Times New Roman" w:cs="Times New Roman"/>
          <w:b/>
          <w:bCs/>
          <w:sz w:val="24"/>
          <w:szCs w:val="24"/>
        </w:rPr>
        <w:t>CARACTERIZAÇÃO DA PESQUISA</w:t>
      </w:r>
    </w:p>
    <w:p w14:paraId="3D961895"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Tratou-se de uma pesquisa exploratória, configurando-se como uma pesquisa de campo, buscando maior aprofundamento das questões propostas do que a distribuição de características da população segundo determinadas variáveis (G</w:t>
      </w:r>
      <w:r>
        <w:rPr>
          <w:rFonts w:ascii="Times New Roman" w:hAnsi="Times New Roman" w:cs="Times New Roman"/>
          <w:sz w:val="24"/>
          <w:szCs w:val="24"/>
        </w:rPr>
        <w:t>IL</w:t>
      </w:r>
      <w:r w:rsidRPr="00224E29">
        <w:rPr>
          <w:rFonts w:ascii="Times New Roman" w:hAnsi="Times New Roman" w:cs="Times New Roman"/>
          <w:sz w:val="24"/>
          <w:szCs w:val="24"/>
        </w:rPr>
        <w:t xml:space="preserve">, 2002). Para tanto, buscando firmar e afirmar o compromisso ético com a ciência e com os participantes, a pesquisa foi submetida e avaliada pelo </w:t>
      </w:r>
      <w:r>
        <w:rPr>
          <w:rFonts w:ascii="Times New Roman" w:hAnsi="Times New Roman" w:cs="Times New Roman"/>
          <w:sz w:val="24"/>
          <w:szCs w:val="24"/>
        </w:rPr>
        <w:t>Comitê de Ética em Pesquisa (</w:t>
      </w:r>
      <w:r w:rsidRPr="00224E29">
        <w:rPr>
          <w:rFonts w:ascii="Times New Roman" w:hAnsi="Times New Roman" w:cs="Times New Roman"/>
          <w:sz w:val="24"/>
          <w:szCs w:val="24"/>
        </w:rPr>
        <w:t>CEP</w:t>
      </w:r>
      <w:r>
        <w:rPr>
          <w:rFonts w:ascii="Times New Roman" w:hAnsi="Times New Roman" w:cs="Times New Roman"/>
          <w:sz w:val="24"/>
          <w:szCs w:val="24"/>
        </w:rPr>
        <w:t>)</w:t>
      </w:r>
      <w:r w:rsidRPr="00224E29">
        <w:rPr>
          <w:rFonts w:ascii="Times New Roman" w:hAnsi="Times New Roman" w:cs="Times New Roman"/>
          <w:sz w:val="24"/>
          <w:szCs w:val="24"/>
        </w:rPr>
        <w:t xml:space="preserve"> d</w:t>
      </w:r>
      <w:r>
        <w:rPr>
          <w:rFonts w:ascii="Times New Roman" w:hAnsi="Times New Roman" w:cs="Times New Roman"/>
          <w:sz w:val="24"/>
          <w:szCs w:val="24"/>
        </w:rPr>
        <w:t>e um Centro Universitário da Região Serrana do Estado do Rio de Janeiro</w:t>
      </w:r>
      <w:r w:rsidRPr="00224E29">
        <w:rPr>
          <w:rFonts w:ascii="Times New Roman" w:hAnsi="Times New Roman" w:cs="Times New Roman"/>
          <w:sz w:val="24"/>
          <w:szCs w:val="24"/>
        </w:rPr>
        <w:t>- n° CAAE 80083124.8.0000.5245, sendo aprovada pelo parecer de número: 6.892.117.</w:t>
      </w:r>
    </w:p>
    <w:p w14:paraId="4239EE5C" w14:textId="77777777" w:rsidR="00C627F1" w:rsidRPr="00224E29" w:rsidRDefault="00C627F1" w:rsidP="00C627F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Pr="003F41CA">
        <w:rPr>
          <w:rFonts w:ascii="Times New Roman" w:hAnsi="Times New Roman" w:cs="Times New Roman"/>
          <w:b/>
          <w:bCs/>
          <w:sz w:val="24"/>
          <w:szCs w:val="24"/>
        </w:rPr>
        <w:t>SUJEITOS DA PESQUISA</w:t>
      </w:r>
    </w:p>
    <w:p w14:paraId="437A1E48"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A amostra utilizada foi por conveniência. Segundo Gil (1994) trata-se de uma técnica de amostragem não probabilística, que busca obter uma quantidade conveniente de elementos amostrais que suportam o leque de variação dos valores a experimentar. Nesta técnica, não probabilística e nem aleatória, observam-se hábitos, opiniões e pontos de vista criados de acordo com a facilidade de acesso e a disponibilidade dos entrevistados em um determinado intervalo de tempo.  A partir da técnica de </w:t>
      </w:r>
      <w:r w:rsidRPr="00224E29">
        <w:rPr>
          <w:rFonts w:ascii="Times New Roman" w:hAnsi="Times New Roman" w:cs="Times New Roman"/>
          <w:i/>
          <w:iCs/>
          <w:sz w:val="24"/>
          <w:szCs w:val="24"/>
        </w:rPr>
        <w:t>Snowball</w:t>
      </w:r>
      <w:r w:rsidRPr="00224E29">
        <w:rPr>
          <w:rFonts w:ascii="Times New Roman" w:hAnsi="Times New Roman" w:cs="Times New Roman"/>
          <w:sz w:val="24"/>
          <w:szCs w:val="24"/>
        </w:rPr>
        <w:t xml:space="preserve">, entramos em contato com psicólogo, convidando para a participar da pesquisa e dado término da pesquisa, esse profissional indicou um outro colega, até chegar em um ponto de saturação, onde os dados recolhidos pelos participantes, já são suficientes para a reflexão proposta pela pesquisa. Como o objetivo dessa pesquisa foi conseguir uma quantidade de entrevistas que pudessem dar conta de aproximar dos objetivos propostos, conseguimos, por entender o critério de saturação, que com os 06 entrevistados, já reunimos um repertório suficiente para as análises. Foram 04 psicólogos autodeclarados como negros e 02 autodeclarados como branco. </w:t>
      </w:r>
    </w:p>
    <w:p w14:paraId="3EE88859" w14:textId="77777777" w:rsidR="00C627F1" w:rsidRPr="00224E29" w:rsidRDefault="00C627F1" w:rsidP="00C627F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 </w:t>
      </w:r>
      <w:r w:rsidRPr="00224E29">
        <w:rPr>
          <w:rFonts w:ascii="Times New Roman" w:hAnsi="Times New Roman" w:cs="Times New Roman"/>
          <w:b/>
          <w:bCs/>
          <w:sz w:val="24"/>
          <w:szCs w:val="24"/>
        </w:rPr>
        <w:t>INSTRUMENTO DE COLETA DE DADOS</w:t>
      </w:r>
    </w:p>
    <w:p w14:paraId="79C39027"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A ida ao campo foi realizada numa espécie de bate papo, sem perguntas fechadas e ou totalmente estabelecidas. Mesmo com esse escopo apresentado abaixo, a ideia sempre foi mapear os discursos, seus possíveis atravessamentos, subjetividades e racionalidades, acompanhando experiencias que estão em curso. </w:t>
      </w:r>
    </w:p>
    <w:p w14:paraId="5E7E0F7E" w14:textId="47A73B80" w:rsidR="00C627F1"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Alguns dados foram coletados, como idade, cor</w:t>
      </w:r>
      <w:r>
        <w:rPr>
          <w:rFonts w:ascii="Times New Roman" w:hAnsi="Times New Roman" w:cs="Times New Roman"/>
          <w:sz w:val="24"/>
          <w:szCs w:val="24"/>
        </w:rPr>
        <w:t xml:space="preserve"> e</w:t>
      </w:r>
      <w:r w:rsidRPr="00224E29">
        <w:rPr>
          <w:rFonts w:ascii="Times New Roman" w:hAnsi="Times New Roman" w:cs="Times New Roman"/>
          <w:sz w:val="24"/>
          <w:szCs w:val="24"/>
        </w:rPr>
        <w:t xml:space="preserve"> formação, a fim de análise</w:t>
      </w:r>
      <w:r>
        <w:rPr>
          <w:rFonts w:ascii="Times New Roman" w:hAnsi="Times New Roman" w:cs="Times New Roman"/>
          <w:sz w:val="24"/>
          <w:szCs w:val="24"/>
        </w:rPr>
        <w:t>s</w:t>
      </w:r>
      <w:r w:rsidRPr="00224E29">
        <w:rPr>
          <w:rFonts w:ascii="Times New Roman" w:hAnsi="Times New Roman" w:cs="Times New Roman"/>
          <w:sz w:val="24"/>
          <w:szCs w:val="24"/>
        </w:rPr>
        <w:t xml:space="preserve"> posteriores e possíveis articulações com os fundamentos recortados para pensar essa pesquisa. As entrevistas são possibilidades ricas na obtenção dos relatos das pessoas sobre determinado tema ou fenômeno (</w:t>
      </w:r>
      <w:r w:rsidR="004223B5" w:rsidRPr="00224E29">
        <w:rPr>
          <w:rFonts w:ascii="Times New Roman" w:hAnsi="Times New Roman" w:cs="Times New Roman"/>
          <w:sz w:val="24"/>
          <w:szCs w:val="24"/>
        </w:rPr>
        <w:t>MAIA</w:t>
      </w:r>
      <w:r w:rsidRPr="00224E29">
        <w:rPr>
          <w:rFonts w:ascii="Times New Roman" w:hAnsi="Times New Roman" w:cs="Times New Roman"/>
          <w:sz w:val="24"/>
          <w:szCs w:val="24"/>
        </w:rPr>
        <w:t>, 2020) e possibilitam um acompanhar da experiência e dos processos, movimento importantíssimo dentro da cartografia. Especificamente, o modelo escolhido foi a entrevista semiestruturada, em função da flexibilidade e do direcionamento ao tema que ela possibilita.</w:t>
      </w:r>
    </w:p>
    <w:p w14:paraId="25254132"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Segundo Minayo e Costa (2018) entrevista semiestruturada, combina um roteiro com questões previamente formuladas e uma abertura, possibilitando ao entrevistador um direcionamento sobre o que pretende saber e, ao mesmo tempo, dar espaço a uma reflexão livre e espontânea do entrevistado sobre os tópicos assinalados</w:t>
      </w:r>
    </w:p>
    <w:p w14:paraId="2142EEA3"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Em relação aos dados sociodemográficos, os dados acompanhados foram: </w:t>
      </w:r>
      <w:r w:rsidRPr="004D1EA6">
        <w:rPr>
          <w:rFonts w:ascii="Times New Roman" w:hAnsi="Times New Roman" w:cs="Times New Roman"/>
          <w:sz w:val="24"/>
          <w:szCs w:val="24"/>
        </w:rPr>
        <w:t>idade; gênero; ano de formação; primeira formação; tempo de atuação clínica e público atendido</w:t>
      </w:r>
      <w:r w:rsidRPr="00224E29">
        <w:rPr>
          <w:rFonts w:ascii="Times New Roman" w:hAnsi="Times New Roman" w:cs="Times New Roman"/>
          <w:sz w:val="24"/>
          <w:szCs w:val="24"/>
        </w:rPr>
        <w:t xml:space="preserve">. E em relação as perguntas disparadoras: </w:t>
      </w:r>
      <w:r w:rsidRPr="004D1EA6">
        <w:rPr>
          <w:rFonts w:ascii="Times New Roman" w:hAnsi="Times New Roman" w:cs="Times New Roman"/>
          <w:sz w:val="24"/>
          <w:szCs w:val="24"/>
        </w:rPr>
        <w:t>Quais são os principais desafios que você enfrenta ao fornecer atendimento clínico para a população negra? Como você aborda a interseccionalidade de raça em sua prática clínica com clientes negros? Como você reconhece e aborda o impacto do racismo estrutural e da discriminação racial nas experiencias de saúde mental dos seus clientes negros? E o que conhece sobre letramento racial? Você acredita que existem lacunas ou falta de representação na literatura psicológica sobre a prática clínica com a população negra? Em caso afirmativo, como isso influencia sua prática?</w:t>
      </w:r>
      <w:r>
        <w:rPr>
          <w:rStyle w:val="Refdenotaderodap"/>
          <w:rFonts w:ascii="Times New Roman" w:hAnsi="Times New Roman" w:cs="Times New Roman"/>
          <w:sz w:val="24"/>
          <w:szCs w:val="24"/>
        </w:rPr>
        <w:footnoteReference w:id="3"/>
      </w:r>
      <w:r w:rsidRPr="00F60BB9">
        <w:rPr>
          <w:rFonts w:ascii="Times New Roman" w:hAnsi="Times New Roman" w:cs="Times New Roman"/>
          <w:sz w:val="24"/>
          <w:szCs w:val="24"/>
        </w:rPr>
        <w:t xml:space="preserve">  </w:t>
      </w:r>
    </w:p>
    <w:p w14:paraId="1FC9A408" w14:textId="77777777" w:rsidR="00C627F1" w:rsidRPr="00224E29" w:rsidRDefault="00C627F1" w:rsidP="00C627F1">
      <w:pPr>
        <w:jc w:val="both"/>
        <w:rPr>
          <w:rFonts w:ascii="Times New Roman" w:hAnsi="Times New Roman" w:cs="Times New Roman"/>
          <w:b/>
          <w:bCs/>
          <w:sz w:val="24"/>
          <w:szCs w:val="24"/>
        </w:rPr>
      </w:pPr>
      <w:r>
        <w:rPr>
          <w:rFonts w:ascii="Times New Roman" w:hAnsi="Times New Roman" w:cs="Times New Roman"/>
          <w:b/>
          <w:bCs/>
          <w:sz w:val="24"/>
          <w:szCs w:val="24"/>
        </w:rPr>
        <w:t xml:space="preserve">2.4 </w:t>
      </w:r>
      <w:r w:rsidRPr="00224E29">
        <w:rPr>
          <w:rFonts w:ascii="Times New Roman" w:hAnsi="Times New Roman" w:cs="Times New Roman"/>
          <w:b/>
          <w:bCs/>
          <w:sz w:val="24"/>
          <w:szCs w:val="24"/>
        </w:rPr>
        <w:t>PROCEDIMENTOS DE ANÁLISE</w:t>
      </w:r>
    </w:p>
    <w:p w14:paraId="15A67EF5"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Segundo Gil (2002), a análise de dados consiste em uma técnica de investigação que tem por finalidade a interpretação da comunicação, que utiliza procedimentos sistemáticos e objetivos, em outras palavras, por meio da mensagem. Definimos a análise de conteúdo de Bardin (1977). Ela se desenvolve em três fases:  </w:t>
      </w:r>
      <w:r>
        <w:rPr>
          <w:rFonts w:ascii="Times New Roman" w:hAnsi="Times New Roman" w:cs="Times New Roman"/>
          <w:sz w:val="24"/>
          <w:szCs w:val="24"/>
        </w:rPr>
        <w:t>'</w:t>
      </w:r>
      <w:r w:rsidRPr="00224E29">
        <w:rPr>
          <w:rFonts w:ascii="Times New Roman" w:hAnsi="Times New Roman" w:cs="Times New Roman"/>
          <w:sz w:val="24"/>
          <w:szCs w:val="24"/>
        </w:rPr>
        <w:t>1ª) Pré-análise – fase de organização e leitura flutuante. Constitui o primeiro contato com os documentos da análise, formulação de hipótese e preparação; 2ª) Exploração do material – considerada a fase mais longa. Visto que compreenda o momento de examinar as decisões tomadas na fase anterior, esta fase envolve a tarefa de codificação, ou seja, “recorte (escolha das unidades), enumeração (escolha das regras de contagem) e a classificação (escolha das categorias); 3ª) Tratamentos dos dados – nesta fase, faremos um detalhamento quantitativo com a primeira parte das entrevistas, com os dados sociodemográficos e outros dados eu por ventura vierem na entrevista e, uma análise qualitativa dos principais pontos que foram trazidos pelas entrevistas, pontos centrais em comum, como pontos que específicos que possam aparecer e que venham interagir e contribuir com os objetivos desta pesquisa.</w:t>
      </w:r>
    </w:p>
    <w:p w14:paraId="2F612B63" w14:textId="2F6FE085"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Retornando a inspiração cartográfica: nessa pesquisa acompanhamos percursos, implicações de em processos de produção e conexão de redes (</w:t>
      </w:r>
      <w:r w:rsidR="00D84DEE" w:rsidRPr="00224E29">
        <w:rPr>
          <w:rFonts w:ascii="Times New Roman" w:hAnsi="Times New Roman" w:cs="Times New Roman"/>
          <w:sz w:val="24"/>
          <w:szCs w:val="24"/>
        </w:rPr>
        <w:t>PASSOS; KASTRUP; ESCÓSSIA</w:t>
      </w:r>
      <w:r w:rsidRPr="00224E29">
        <w:rPr>
          <w:rFonts w:ascii="Times New Roman" w:hAnsi="Times New Roman" w:cs="Times New Roman"/>
          <w:sz w:val="24"/>
          <w:szCs w:val="24"/>
        </w:rPr>
        <w:t>, 2020). Nesse sentido, é entender que essa construção é conjunta, é entender que na medida que se acompanha os processos, possibilita-se o desvelamento dos significados e sentidos que se articulam no contexto pesquisado. Por se tratar de uma metodologia de inspiração cartográfica, o processo de análise já se inicia concomitante ao processo de pesquisa, razão essa de que na organização estética do texto, na parte da fundamentação teórica, as falas dos participantes, já estarem presentes, buscando assim se aproximar dos objetivos centrais da pesquisa (B</w:t>
      </w:r>
      <w:r>
        <w:rPr>
          <w:rFonts w:ascii="Times New Roman" w:hAnsi="Times New Roman" w:cs="Times New Roman"/>
          <w:sz w:val="24"/>
          <w:szCs w:val="24"/>
        </w:rPr>
        <w:t>ARROS</w:t>
      </w:r>
      <w:r w:rsidRPr="00224E29">
        <w:rPr>
          <w:rFonts w:ascii="Times New Roman" w:hAnsi="Times New Roman" w:cs="Times New Roman"/>
          <w:sz w:val="24"/>
          <w:szCs w:val="24"/>
        </w:rPr>
        <w:t>; B</w:t>
      </w:r>
      <w:r>
        <w:rPr>
          <w:rFonts w:ascii="Times New Roman" w:hAnsi="Times New Roman" w:cs="Times New Roman"/>
          <w:sz w:val="24"/>
          <w:szCs w:val="24"/>
        </w:rPr>
        <w:t>ARROS</w:t>
      </w:r>
      <w:r w:rsidRPr="00224E29">
        <w:rPr>
          <w:rFonts w:ascii="Times New Roman" w:hAnsi="Times New Roman" w:cs="Times New Roman"/>
          <w:sz w:val="24"/>
          <w:szCs w:val="24"/>
        </w:rPr>
        <w:t>, 2013</w:t>
      </w:r>
      <w:r w:rsidR="0027481C">
        <w:rPr>
          <w:rFonts w:ascii="Times New Roman" w:hAnsi="Times New Roman" w:cs="Times New Roman"/>
          <w:sz w:val="24"/>
          <w:szCs w:val="24"/>
        </w:rPr>
        <w:t>:</w:t>
      </w:r>
      <w:r w:rsidRPr="00224E29">
        <w:rPr>
          <w:rFonts w:ascii="Times New Roman" w:hAnsi="Times New Roman" w:cs="Times New Roman"/>
          <w:sz w:val="24"/>
          <w:szCs w:val="24"/>
        </w:rPr>
        <w:t xml:space="preserve"> 388). </w:t>
      </w:r>
    </w:p>
    <w:p w14:paraId="3DCA3926"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É comum em pesquisas cartográficas não existir uma separação entre as etapas de cultivo e de análise dos materiais e experiências. O que se coloca como tarefa é permitir que a própria pesquisa seja interrogada; que os observados se tornem efetivamente coparticipantes da pesquisa (B</w:t>
      </w:r>
      <w:r>
        <w:rPr>
          <w:rFonts w:ascii="Times New Roman" w:hAnsi="Times New Roman" w:cs="Times New Roman"/>
          <w:sz w:val="24"/>
          <w:szCs w:val="24"/>
        </w:rPr>
        <w:t>ARROS</w:t>
      </w:r>
      <w:r w:rsidRPr="00224E29">
        <w:rPr>
          <w:rFonts w:ascii="Times New Roman" w:hAnsi="Times New Roman" w:cs="Times New Roman"/>
          <w:sz w:val="24"/>
          <w:szCs w:val="24"/>
        </w:rPr>
        <w:t>; B</w:t>
      </w:r>
      <w:r>
        <w:rPr>
          <w:rFonts w:ascii="Times New Roman" w:hAnsi="Times New Roman" w:cs="Times New Roman"/>
          <w:sz w:val="24"/>
          <w:szCs w:val="24"/>
        </w:rPr>
        <w:t>ARROS</w:t>
      </w:r>
      <w:r w:rsidRPr="00224E29">
        <w:rPr>
          <w:rFonts w:ascii="Times New Roman" w:hAnsi="Times New Roman" w:cs="Times New Roman"/>
          <w:sz w:val="24"/>
          <w:szCs w:val="24"/>
        </w:rPr>
        <w:t>, 2013), embora, nesse texto, abrimos um capítulo intitulado “Análises quantitativas e análises qualitativas” por entendermos a necessidade de um recorte, de um mapeamento para levantar questões iniciais e para acenarmos para discussões futuras de modo a contribuir para cenários mais decoloniais.</w:t>
      </w:r>
    </w:p>
    <w:p w14:paraId="11FF4BE3"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Reconhecendo as delimitações colocadas a partir da inspiração metodológica, com os dados em mãos, existe uma preparação para apresentação. A análise da pesquisa deve informar os efeitos que foram produzidos, por isso, mantemos em termos estéticos um espaço no corpo do texto reservado para as análises</w:t>
      </w:r>
      <w:r>
        <w:rPr>
          <w:rFonts w:ascii="Times New Roman" w:hAnsi="Times New Roman" w:cs="Times New Roman"/>
          <w:sz w:val="24"/>
          <w:szCs w:val="24"/>
        </w:rPr>
        <w:t>.</w:t>
      </w:r>
      <w:r w:rsidRPr="00224E29">
        <w:rPr>
          <w:rFonts w:ascii="Times New Roman" w:hAnsi="Times New Roman" w:cs="Times New Roman"/>
          <w:sz w:val="24"/>
          <w:szCs w:val="24"/>
        </w:rPr>
        <w:t xml:space="preserve"> </w:t>
      </w:r>
      <w:r>
        <w:rPr>
          <w:rFonts w:ascii="Times New Roman" w:hAnsi="Times New Roman" w:cs="Times New Roman"/>
          <w:sz w:val="24"/>
          <w:szCs w:val="24"/>
        </w:rPr>
        <w:t>A</w:t>
      </w:r>
      <w:r w:rsidRPr="00224E29">
        <w:rPr>
          <w:rFonts w:ascii="Times New Roman" w:hAnsi="Times New Roman" w:cs="Times New Roman"/>
          <w:sz w:val="24"/>
          <w:szCs w:val="24"/>
        </w:rPr>
        <w:t>o mesmo tempo</w:t>
      </w:r>
      <w:r>
        <w:rPr>
          <w:rFonts w:ascii="Times New Roman" w:hAnsi="Times New Roman" w:cs="Times New Roman"/>
          <w:sz w:val="24"/>
          <w:szCs w:val="24"/>
        </w:rPr>
        <w:t>,</w:t>
      </w:r>
      <w:r w:rsidRPr="00224E29">
        <w:rPr>
          <w:rFonts w:ascii="Times New Roman" w:hAnsi="Times New Roman" w:cs="Times New Roman"/>
          <w:sz w:val="24"/>
          <w:szCs w:val="24"/>
        </w:rPr>
        <w:t xml:space="preserve"> foi permit</w:t>
      </w:r>
      <w:r>
        <w:rPr>
          <w:rFonts w:ascii="Times New Roman" w:hAnsi="Times New Roman" w:cs="Times New Roman"/>
          <w:sz w:val="24"/>
          <w:szCs w:val="24"/>
        </w:rPr>
        <w:t>ido</w:t>
      </w:r>
      <w:r w:rsidRPr="00224E29">
        <w:rPr>
          <w:rFonts w:ascii="Times New Roman" w:hAnsi="Times New Roman" w:cs="Times New Roman"/>
          <w:sz w:val="24"/>
          <w:szCs w:val="24"/>
        </w:rPr>
        <w:t xml:space="preserve"> um diálogo constante de acompanhamento entre o material teórico e o acompanhamento das entrevistas em campo. (B</w:t>
      </w:r>
      <w:r>
        <w:rPr>
          <w:rFonts w:ascii="Times New Roman" w:hAnsi="Times New Roman" w:cs="Times New Roman"/>
          <w:sz w:val="24"/>
          <w:szCs w:val="24"/>
        </w:rPr>
        <w:t>ARROS</w:t>
      </w:r>
      <w:r w:rsidRPr="00224E29">
        <w:rPr>
          <w:rFonts w:ascii="Times New Roman" w:hAnsi="Times New Roman" w:cs="Times New Roman"/>
          <w:sz w:val="24"/>
          <w:szCs w:val="24"/>
        </w:rPr>
        <w:t>; B</w:t>
      </w:r>
      <w:r>
        <w:rPr>
          <w:rFonts w:ascii="Times New Roman" w:hAnsi="Times New Roman" w:cs="Times New Roman"/>
          <w:sz w:val="24"/>
          <w:szCs w:val="24"/>
        </w:rPr>
        <w:t>ARROS</w:t>
      </w:r>
      <w:r w:rsidRPr="00224E29">
        <w:rPr>
          <w:rFonts w:ascii="Times New Roman" w:hAnsi="Times New Roman" w:cs="Times New Roman"/>
          <w:sz w:val="24"/>
          <w:szCs w:val="24"/>
        </w:rPr>
        <w:t>, 2013).</w:t>
      </w:r>
    </w:p>
    <w:p w14:paraId="0A0EF838" w14:textId="77777777" w:rsidR="00C627F1" w:rsidRPr="00224E29" w:rsidRDefault="00C627F1" w:rsidP="00C627F1">
      <w:pPr>
        <w:rPr>
          <w:rFonts w:ascii="Times New Roman" w:hAnsi="Times New Roman" w:cs="Times New Roman"/>
          <w:b/>
          <w:bCs/>
          <w:sz w:val="24"/>
          <w:szCs w:val="24"/>
        </w:rPr>
      </w:pPr>
      <w:r>
        <w:rPr>
          <w:rFonts w:ascii="Times New Roman" w:hAnsi="Times New Roman" w:cs="Times New Roman"/>
          <w:b/>
          <w:bCs/>
          <w:sz w:val="24"/>
          <w:szCs w:val="24"/>
        </w:rPr>
        <w:t xml:space="preserve">2.5 </w:t>
      </w:r>
      <w:r w:rsidRPr="00224E29">
        <w:rPr>
          <w:rFonts w:ascii="Times New Roman" w:hAnsi="Times New Roman" w:cs="Times New Roman"/>
          <w:b/>
          <w:bCs/>
          <w:sz w:val="24"/>
          <w:szCs w:val="24"/>
        </w:rPr>
        <w:t>A CLÍNICA PSICOLÓGICA E A DESCONSTRUÇÃO DE UMA RACIONALIDADE COLONIAL</w:t>
      </w:r>
    </w:p>
    <w:p w14:paraId="7B552B05"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A clínica psicológica tem como objetivo promover o bem-estar mental do indivíduo, lidando em conjunto com as questões psicossociais, ajudando-o a compreender e lidar com os conflitos que surgem a partir das experiências da vida, assim como, promover autoconhecimento e saúde (D</w:t>
      </w:r>
      <w:r>
        <w:rPr>
          <w:rFonts w:ascii="Times New Roman" w:hAnsi="Times New Roman" w:cs="Times New Roman"/>
          <w:sz w:val="24"/>
          <w:szCs w:val="24"/>
        </w:rPr>
        <w:t>E ALMEIDA,</w:t>
      </w:r>
      <w:r w:rsidRPr="00224E29">
        <w:rPr>
          <w:rFonts w:ascii="Times New Roman" w:hAnsi="Times New Roman" w:cs="Times New Roman"/>
          <w:sz w:val="24"/>
          <w:szCs w:val="24"/>
        </w:rPr>
        <w:t xml:space="preserve"> 2011). O seu funcionamento segue padrões éticos e profissionais, garantindo confidencialidade, respeito e compromisso com os pacientes, conforme o Código de Ética do Psicólogo (2005).</w:t>
      </w:r>
    </w:p>
    <w:p w14:paraId="0D60653E" w14:textId="77777777" w:rsidR="00C627F1" w:rsidRDefault="00C627F1" w:rsidP="00C627F1">
      <w:pPr>
        <w:spacing w:after="0" w:line="360" w:lineRule="auto"/>
        <w:ind w:firstLine="851"/>
        <w:jc w:val="both"/>
        <w:rPr>
          <w:rFonts w:ascii="Times New Roman" w:hAnsi="Times New Roman" w:cs="Times New Roman"/>
          <w:sz w:val="24"/>
          <w:szCs w:val="24"/>
        </w:rPr>
      </w:pPr>
      <w:r w:rsidRPr="00F60BB9">
        <w:rPr>
          <w:rFonts w:ascii="Times New Roman" w:hAnsi="Times New Roman" w:cs="Times New Roman"/>
          <w:sz w:val="24"/>
          <w:szCs w:val="24"/>
        </w:rPr>
        <w:t>Em relação às questões formativas, é de extrema importância, inclusive reparatória, levar em consideração a diversidade cultural, de gênero e étnica que atravessa a subjetividade brasileira e, consequentemente, interfere na clínica psicológica. Essa diversidade não foi e, em muitos espaços, ainda não é levada em conta por causa de uma formação baseada em um suposto "modelo universal de ser humano".</w:t>
      </w:r>
      <w:r>
        <w:rPr>
          <w:rFonts w:ascii="Times New Roman" w:hAnsi="Times New Roman" w:cs="Times New Roman"/>
          <w:sz w:val="24"/>
          <w:szCs w:val="24"/>
        </w:rPr>
        <w:t xml:space="preserve"> </w:t>
      </w:r>
      <w:r w:rsidRPr="00F60BB9">
        <w:rPr>
          <w:rFonts w:ascii="Times New Roman" w:hAnsi="Times New Roman" w:cs="Times New Roman"/>
          <w:sz w:val="24"/>
          <w:szCs w:val="24"/>
        </w:rPr>
        <w:t>Esse modelo, infelizmente, se sustenta em paradigmas europeus, cristãos, masculinos e brancos que, historicamente, desconsideraram as alteridades e que interferiam e continuam a interferir no modo de ser e estar no mundo (PEREIRA, 2022).</w:t>
      </w:r>
    </w:p>
    <w:p w14:paraId="4618A9E7" w14:textId="7F7B8CB4"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Essa crítica ao eurocentrismo, apresentado pelos estudos decoloniais, anunciam um movimento epistemológico muito importante para a renovação de uma crítica as ciências sociais na América Latina no século XXI ( </w:t>
      </w:r>
      <w:r>
        <w:rPr>
          <w:rFonts w:ascii="Times New Roman" w:hAnsi="Times New Roman" w:cs="Times New Roman"/>
          <w:sz w:val="24"/>
          <w:szCs w:val="24"/>
        </w:rPr>
        <w:t>PEREIRA, 2022</w:t>
      </w:r>
      <w:r w:rsidRPr="00224E29">
        <w:rPr>
          <w:rFonts w:ascii="Times New Roman" w:hAnsi="Times New Roman" w:cs="Times New Roman"/>
          <w:sz w:val="24"/>
          <w:szCs w:val="24"/>
        </w:rPr>
        <w:t>), pois a dominação cultural que controlou e controla as subjetividades, com seus fundamentos eurocêntricos e essa fantasiosa ideia de uma “ser humano global”, afeta diretamente a formação da clínica psicológica, quando vemos uma formação acadêmica pautada em uma literatura branca, masculina e cristã, marginalizando tudo aquilo que é diferente desse “padrão”(</w:t>
      </w:r>
      <w:r w:rsidR="0027481C" w:rsidRPr="00224E29">
        <w:rPr>
          <w:rFonts w:ascii="Times New Roman" w:hAnsi="Times New Roman" w:cs="Times New Roman"/>
          <w:sz w:val="24"/>
          <w:szCs w:val="24"/>
        </w:rPr>
        <w:t>PEREIRA</w:t>
      </w:r>
      <w:r w:rsidRPr="00224E29">
        <w:rPr>
          <w:rFonts w:ascii="Times New Roman" w:hAnsi="Times New Roman" w:cs="Times New Roman"/>
          <w:sz w:val="24"/>
          <w:szCs w:val="24"/>
        </w:rPr>
        <w:t>, 2022).</w:t>
      </w:r>
    </w:p>
    <w:p w14:paraId="3B3AED77"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Conjuntamente ao olhar reparatório e emancipador da decolonialidade, a ideia da interseccionalidade, entendida aqui como a intersecção diferentes identidades sociais que moldam as experiencias individuais (S</w:t>
      </w:r>
      <w:r>
        <w:rPr>
          <w:rFonts w:ascii="Times New Roman" w:hAnsi="Times New Roman" w:cs="Times New Roman"/>
          <w:sz w:val="24"/>
          <w:szCs w:val="24"/>
        </w:rPr>
        <w:t>ILVA,</w:t>
      </w:r>
      <w:r w:rsidRPr="00224E29">
        <w:rPr>
          <w:rFonts w:ascii="Times New Roman" w:hAnsi="Times New Roman" w:cs="Times New Roman"/>
          <w:sz w:val="24"/>
          <w:szCs w:val="24"/>
        </w:rPr>
        <w:t xml:space="preserve"> 2022), ajudam a reconhecer como que as questões vinculadas a raça, etnia e gênero compõe e afetam a construção das identidades, atravessando a clínica e que não podem ser desconsideradas do processo formativo. E esses pressupostos precisam, por exemplo, ser levados em consideração na construção curricular dos cursos de psicologia, na Lei de Diretrizes e Bases (LDB), nas Diretrizes Curriculares Nacionais (DCN’s), etc.</w:t>
      </w:r>
    </w:p>
    <w:p w14:paraId="5EB4D34F" w14:textId="77777777" w:rsidR="00C627F1" w:rsidRPr="00224E29" w:rsidRDefault="00C627F1" w:rsidP="00C627F1">
      <w:pPr>
        <w:ind w:left="2268"/>
        <w:jc w:val="both"/>
        <w:rPr>
          <w:rFonts w:ascii="Times New Roman" w:hAnsi="Times New Roman" w:cs="Times New Roman"/>
          <w:sz w:val="20"/>
          <w:szCs w:val="20"/>
        </w:rPr>
      </w:pPr>
      <w:r w:rsidRPr="00224E29">
        <w:rPr>
          <w:rFonts w:ascii="Times New Roman" w:hAnsi="Times New Roman" w:cs="Times New Roman"/>
          <w:sz w:val="20"/>
          <w:szCs w:val="20"/>
        </w:rPr>
        <w:t>Essas “escolhas” especialmente realizadas nos currículos das universidades (espaço reconhecido como produtor de conhecimento) consolidam um saber e agenciam modos de fazer psicologia que sustentaram normas de conduta socialmente aceitáveis e, consequentemente, produziram “o anormal”, o excluído (P</w:t>
      </w:r>
      <w:r>
        <w:rPr>
          <w:rFonts w:ascii="Times New Roman" w:hAnsi="Times New Roman" w:cs="Times New Roman"/>
          <w:sz w:val="20"/>
          <w:szCs w:val="20"/>
        </w:rPr>
        <w:t>EREIRA</w:t>
      </w:r>
      <w:r w:rsidRPr="00224E29">
        <w:rPr>
          <w:rFonts w:ascii="Times New Roman" w:hAnsi="Times New Roman" w:cs="Times New Roman"/>
          <w:sz w:val="20"/>
          <w:szCs w:val="20"/>
        </w:rPr>
        <w:t>, et al, 2022).</w:t>
      </w:r>
    </w:p>
    <w:p w14:paraId="5A1B58D0"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A psicologia tem o papel de reconhecer o quanto sua produção de conhecimento agiu como um dispositivo de racialidade</w:t>
      </w:r>
      <w:r>
        <w:rPr>
          <w:rStyle w:val="Refdenotaderodap"/>
          <w:rFonts w:ascii="Times New Roman" w:hAnsi="Times New Roman" w:cs="Times New Roman"/>
          <w:sz w:val="24"/>
          <w:szCs w:val="24"/>
        </w:rPr>
        <w:footnoteReference w:id="4"/>
      </w:r>
      <w:r w:rsidRPr="00224E29">
        <w:rPr>
          <w:rFonts w:ascii="Times New Roman" w:hAnsi="Times New Roman" w:cs="Times New Roman"/>
          <w:sz w:val="24"/>
          <w:szCs w:val="24"/>
        </w:rPr>
        <w:t xml:space="preserve">, e de poder contribuir no enfrentamento do sofrimento causado pelo racismo, especialmente no contexto da clínica psicológica, onde exige do psicólogo uma reflexão sobre as questões raciais que atravessam os atendimentos e intervenções terapêuticas. </w:t>
      </w:r>
    </w:p>
    <w:p w14:paraId="662AF89B" w14:textId="2835CE67" w:rsidR="00C627F1" w:rsidRPr="00224E29" w:rsidRDefault="00C627F1" w:rsidP="00C627F1">
      <w:pPr>
        <w:spacing w:before="240"/>
        <w:ind w:left="2268"/>
        <w:jc w:val="both"/>
        <w:rPr>
          <w:rFonts w:ascii="Times New Roman" w:hAnsi="Times New Roman" w:cs="Times New Roman"/>
          <w:sz w:val="20"/>
          <w:szCs w:val="20"/>
        </w:rPr>
      </w:pPr>
      <w:r w:rsidRPr="00224E29">
        <w:rPr>
          <w:rFonts w:ascii="Times New Roman" w:hAnsi="Times New Roman" w:cs="Times New Roman"/>
          <w:sz w:val="20"/>
          <w:szCs w:val="20"/>
        </w:rPr>
        <w:t>Pois uma sociedade que vive na negação, ou até mesmo na glorificação de uma história colonial, não permite que novas linguagens sejam criadas. Nem permite que seja a responsabilização, e não a moral, a criar configurações de poder e de conhecimento. Só quando se reconfiguram as estruturas de poder é que as muitas identidades marginalizadas podem também, finalmente, reconfigurar a noção de conhecimento. Quem sabe? Quem pode saber? E o saber de quem? (K</w:t>
      </w:r>
      <w:r>
        <w:rPr>
          <w:rFonts w:ascii="Times New Roman" w:hAnsi="Times New Roman" w:cs="Times New Roman"/>
          <w:sz w:val="20"/>
          <w:szCs w:val="20"/>
        </w:rPr>
        <w:t>ILOMBA</w:t>
      </w:r>
      <w:r w:rsidRPr="00224E29">
        <w:rPr>
          <w:rFonts w:ascii="Times New Roman" w:hAnsi="Times New Roman" w:cs="Times New Roman"/>
          <w:sz w:val="20"/>
          <w:szCs w:val="20"/>
        </w:rPr>
        <w:t>, 20</w:t>
      </w:r>
      <w:r>
        <w:rPr>
          <w:rFonts w:ascii="Times New Roman" w:hAnsi="Times New Roman" w:cs="Times New Roman"/>
          <w:sz w:val="20"/>
          <w:szCs w:val="20"/>
        </w:rPr>
        <w:t>19</w:t>
      </w:r>
      <w:r w:rsidR="0027481C">
        <w:rPr>
          <w:rFonts w:ascii="Times New Roman" w:hAnsi="Times New Roman" w:cs="Times New Roman"/>
          <w:sz w:val="20"/>
          <w:szCs w:val="20"/>
        </w:rPr>
        <w:t>:</w:t>
      </w:r>
      <w:r w:rsidRPr="00224E29">
        <w:rPr>
          <w:rFonts w:ascii="Times New Roman" w:hAnsi="Times New Roman" w:cs="Times New Roman"/>
          <w:sz w:val="20"/>
          <w:szCs w:val="20"/>
        </w:rPr>
        <w:t>13)</w:t>
      </w:r>
    </w:p>
    <w:p w14:paraId="1990325F" w14:textId="77777777" w:rsidR="00C627F1" w:rsidRPr="00224E29" w:rsidRDefault="00C627F1" w:rsidP="00C627F1">
      <w:pPr>
        <w:spacing w:before="240" w:after="0" w:line="360" w:lineRule="auto"/>
        <w:ind w:firstLine="851"/>
        <w:jc w:val="both"/>
        <w:rPr>
          <w:rFonts w:ascii="Times New Roman" w:hAnsi="Times New Roman" w:cs="Times New Roman"/>
          <w:sz w:val="24"/>
          <w:szCs w:val="24"/>
          <w:highlight w:val="yellow"/>
        </w:rPr>
      </w:pPr>
      <w:r w:rsidRPr="00224E29">
        <w:rPr>
          <w:rFonts w:ascii="Times New Roman" w:hAnsi="Times New Roman" w:cs="Times New Roman"/>
          <w:sz w:val="24"/>
          <w:szCs w:val="24"/>
        </w:rPr>
        <w:t xml:space="preserve">Diante da clínica psicológica e as questões raciais que atravessam, é essencial que o psicólogo assuma uma postura de conscientização sobre o racismo estrutural presente na sociedade e que afeta a vida dos clientes em diversos aspectos, incluindo de forma física e mental. É essencial que o psicólogo entenda o racismo como um possível causador de sofrimento psíquico, onde as marcas que ficam a partir dessas atitudes são permanentes e podem afetar a como essa população que sofre com as consequências consegue lidar com as questões pessoais. </w:t>
      </w:r>
    </w:p>
    <w:p w14:paraId="4BE914BE"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E mais que isso, Kilomba (20</w:t>
      </w:r>
      <w:r>
        <w:rPr>
          <w:rFonts w:ascii="Times New Roman" w:hAnsi="Times New Roman" w:cs="Times New Roman"/>
          <w:sz w:val="24"/>
          <w:szCs w:val="24"/>
        </w:rPr>
        <w:t>19</w:t>
      </w:r>
      <w:r w:rsidRPr="00224E29">
        <w:rPr>
          <w:rFonts w:ascii="Times New Roman" w:hAnsi="Times New Roman" w:cs="Times New Roman"/>
          <w:sz w:val="24"/>
          <w:szCs w:val="24"/>
        </w:rPr>
        <w:t>) traz um conceito advindo da psicanálise, situado dentre alguns mecanismos de defesa do ego que é a “identificação” que pode ser entendida quando o sujeito assimila aspectos do outro e é transformado por esse processo. A questão que se coloca é de pensar quais são as histórias, biografias, experiências e conhecimentos que estão disponíveis para serem identificados, quais são as bases que sustentam esses processos? Temos epistemologias negras sendo identidades? Porque ainda vemos autores negros, produzindo conhecimento que não fazem parte de suas tradições e culturas? Por que ainda vemos tantos teóricos brancos falarem sobre preconceito racial? Não que não possam, mas porque boca do negro deve ser amarrada? O que o sujeito branco teria de ouvir? Quem pode falar? Quem pode construir conhecimento? Pode o subalterno falar? É importante compreender o que significa uma identidade não existir na sua própria língua, escrita ou falada.</w:t>
      </w:r>
    </w:p>
    <w:p w14:paraId="47CD99A2" w14:textId="1F9A116D" w:rsidR="00C627F1" w:rsidRPr="00224E29" w:rsidRDefault="00C627F1" w:rsidP="00C627F1">
      <w:pPr>
        <w:ind w:left="2268"/>
        <w:jc w:val="both"/>
        <w:rPr>
          <w:rFonts w:ascii="Times New Roman" w:hAnsi="Times New Roman" w:cs="Times New Roman"/>
          <w:sz w:val="20"/>
          <w:szCs w:val="20"/>
        </w:rPr>
      </w:pPr>
      <w:r w:rsidRPr="00224E29">
        <w:rPr>
          <w:rFonts w:ascii="Times New Roman" w:hAnsi="Times New Roman" w:cs="Times New Roman"/>
          <w:sz w:val="20"/>
          <w:szCs w:val="20"/>
        </w:rPr>
        <w:t>Como que conhecimento e o poder racial se entrelaçam. O que foi a Conferência de Berlim 1844-85? Quais países africanos foram colonizados pela Alemanha? Quantos anos durou a colonização alemã no continente africano? E concluo com perguntas mais específicas: Quem foi a Rainha Nzinga e que papel ela teve na luta contra a colonização europeia? Quem escreveu Peles Negras e Máscara Branca? Quem foi May Ayim? (K</w:t>
      </w:r>
      <w:r>
        <w:rPr>
          <w:rFonts w:ascii="Times New Roman" w:hAnsi="Times New Roman" w:cs="Times New Roman"/>
          <w:sz w:val="20"/>
          <w:szCs w:val="20"/>
        </w:rPr>
        <w:t>ILOMBA</w:t>
      </w:r>
      <w:r w:rsidRPr="00224E29">
        <w:rPr>
          <w:rFonts w:ascii="Times New Roman" w:hAnsi="Times New Roman" w:cs="Times New Roman"/>
          <w:sz w:val="20"/>
          <w:szCs w:val="20"/>
        </w:rPr>
        <w:t>, 2020</w:t>
      </w:r>
      <w:r w:rsidR="0027481C">
        <w:rPr>
          <w:rFonts w:ascii="Times New Roman" w:hAnsi="Times New Roman" w:cs="Times New Roman"/>
          <w:sz w:val="20"/>
          <w:szCs w:val="20"/>
        </w:rPr>
        <w:t>:</w:t>
      </w:r>
      <w:r w:rsidRPr="00224E29">
        <w:rPr>
          <w:rFonts w:ascii="Times New Roman" w:hAnsi="Times New Roman" w:cs="Times New Roman"/>
          <w:sz w:val="20"/>
          <w:szCs w:val="20"/>
        </w:rPr>
        <w:t xml:space="preserve"> 49).</w:t>
      </w:r>
    </w:p>
    <w:p w14:paraId="358BC92C" w14:textId="77777777" w:rsidR="00C627F1" w:rsidRPr="00224E29" w:rsidRDefault="00C627F1" w:rsidP="00C627F1">
      <w:pPr>
        <w:spacing w:after="0" w:line="360" w:lineRule="auto"/>
        <w:ind w:firstLine="709"/>
        <w:jc w:val="both"/>
        <w:rPr>
          <w:rFonts w:ascii="Times New Roman" w:hAnsi="Times New Roman" w:cs="Times New Roman"/>
          <w:sz w:val="24"/>
          <w:szCs w:val="24"/>
        </w:rPr>
      </w:pPr>
      <w:r w:rsidRPr="00224E29">
        <w:rPr>
          <w:rFonts w:ascii="Times New Roman" w:hAnsi="Times New Roman" w:cs="Times New Roman"/>
          <w:sz w:val="24"/>
          <w:szCs w:val="24"/>
        </w:rPr>
        <w:t>Esse exercício nos faz pensar na violência que é a hierarquização do conhecimento acadêmico, e que essa hierarquização tem relação com um poder racial em específico, que desqualifica um outro saber</w:t>
      </w:r>
      <w:r>
        <w:rPr>
          <w:rFonts w:ascii="Times New Roman" w:hAnsi="Times New Roman" w:cs="Times New Roman"/>
          <w:sz w:val="24"/>
          <w:szCs w:val="24"/>
        </w:rPr>
        <w:t xml:space="preserve">, </w:t>
      </w:r>
      <w:r w:rsidRPr="00224E29">
        <w:rPr>
          <w:rFonts w:ascii="Times New Roman" w:hAnsi="Times New Roman" w:cs="Times New Roman"/>
          <w:sz w:val="24"/>
          <w:szCs w:val="24"/>
        </w:rPr>
        <w:t>produzido por negros por exemplo</w:t>
      </w:r>
      <w:r>
        <w:rPr>
          <w:rFonts w:ascii="Times New Roman" w:hAnsi="Times New Roman" w:cs="Times New Roman"/>
          <w:sz w:val="24"/>
          <w:szCs w:val="24"/>
        </w:rPr>
        <w:t>,</w:t>
      </w:r>
      <w:r w:rsidRPr="00224E29">
        <w:rPr>
          <w:rFonts w:ascii="Times New Roman" w:hAnsi="Times New Roman" w:cs="Times New Roman"/>
          <w:sz w:val="24"/>
          <w:szCs w:val="24"/>
        </w:rPr>
        <w:t xml:space="preserve"> tornando esse saber periférico. Daí encontramos esse problema de violência da produção do conhecimento que</w:t>
      </w:r>
      <w:r>
        <w:rPr>
          <w:rFonts w:ascii="Times New Roman" w:hAnsi="Times New Roman" w:cs="Times New Roman"/>
          <w:sz w:val="24"/>
          <w:szCs w:val="24"/>
        </w:rPr>
        <w:t>,</w:t>
      </w:r>
      <w:r w:rsidRPr="00224E29">
        <w:rPr>
          <w:rFonts w:ascii="Times New Roman" w:hAnsi="Times New Roman" w:cs="Times New Roman"/>
          <w:sz w:val="24"/>
          <w:szCs w:val="24"/>
        </w:rPr>
        <w:t xml:space="preserve"> inegavelmente</w:t>
      </w:r>
      <w:r>
        <w:rPr>
          <w:rFonts w:ascii="Times New Roman" w:hAnsi="Times New Roman" w:cs="Times New Roman"/>
          <w:sz w:val="24"/>
          <w:szCs w:val="24"/>
        </w:rPr>
        <w:t>,</w:t>
      </w:r>
      <w:r w:rsidRPr="00224E29">
        <w:rPr>
          <w:rFonts w:ascii="Times New Roman" w:hAnsi="Times New Roman" w:cs="Times New Roman"/>
          <w:sz w:val="24"/>
          <w:szCs w:val="24"/>
        </w:rPr>
        <w:t xml:space="preserve"> produz um processo de negação</w:t>
      </w:r>
      <w:r>
        <w:rPr>
          <w:rFonts w:ascii="Times New Roman" w:hAnsi="Times New Roman" w:cs="Times New Roman"/>
          <w:sz w:val="24"/>
          <w:szCs w:val="24"/>
        </w:rPr>
        <w:t xml:space="preserve">, </w:t>
      </w:r>
      <w:r w:rsidRPr="00224E29">
        <w:rPr>
          <w:rFonts w:ascii="Times New Roman" w:hAnsi="Times New Roman" w:cs="Times New Roman"/>
          <w:sz w:val="24"/>
          <w:szCs w:val="24"/>
        </w:rPr>
        <w:t>entendido aqui como um mecanismo de defesa</w:t>
      </w:r>
      <w:r>
        <w:rPr>
          <w:rFonts w:ascii="Times New Roman" w:hAnsi="Times New Roman" w:cs="Times New Roman"/>
          <w:sz w:val="24"/>
          <w:szCs w:val="24"/>
        </w:rPr>
        <w:t>.</w:t>
      </w:r>
      <w:r w:rsidRPr="00224E29">
        <w:rPr>
          <w:rFonts w:ascii="Times New Roman" w:hAnsi="Times New Roman" w:cs="Times New Roman"/>
          <w:sz w:val="24"/>
          <w:szCs w:val="24"/>
        </w:rPr>
        <w:t xml:space="preserve"> </w:t>
      </w:r>
      <w:r>
        <w:rPr>
          <w:rFonts w:ascii="Times New Roman" w:hAnsi="Times New Roman" w:cs="Times New Roman"/>
          <w:sz w:val="24"/>
          <w:szCs w:val="24"/>
        </w:rPr>
        <w:t>Q</w:t>
      </w:r>
      <w:r w:rsidRPr="00224E29">
        <w:rPr>
          <w:rFonts w:ascii="Times New Roman" w:hAnsi="Times New Roman" w:cs="Times New Roman"/>
          <w:sz w:val="24"/>
          <w:szCs w:val="24"/>
        </w:rPr>
        <w:t>ue podem de um lado, formar uma perspectiva branca em pensar e fazer psicologia</w:t>
      </w:r>
      <w:r>
        <w:rPr>
          <w:rFonts w:ascii="Times New Roman" w:hAnsi="Times New Roman" w:cs="Times New Roman"/>
          <w:sz w:val="24"/>
          <w:szCs w:val="24"/>
        </w:rPr>
        <w:t xml:space="preserve"> e</w:t>
      </w:r>
      <w:r w:rsidRPr="00224E29">
        <w:rPr>
          <w:rFonts w:ascii="Times New Roman" w:hAnsi="Times New Roman" w:cs="Times New Roman"/>
          <w:sz w:val="24"/>
          <w:szCs w:val="24"/>
        </w:rPr>
        <w:t xml:space="preserve"> que invisibiliza o quan</w:t>
      </w:r>
      <w:r>
        <w:rPr>
          <w:rFonts w:ascii="Times New Roman" w:hAnsi="Times New Roman" w:cs="Times New Roman"/>
          <w:sz w:val="24"/>
          <w:szCs w:val="24"/>
        </w:rPr>
        <w:t>t</w:t>
      </w:r>
      <w:r w:rsidRPr="00224E29">
        <w:rPr>
          <w:rFonts w:ascii="Times New Roman" w:hAnsi="Times New Roman" w:cs="Times New Roman"/>
          <w:sz w:val="24"/>
          <w:szCs w:val="24"/>
        </w:rPr>
        <w:t>o essa questão pode ser produtora de prejuízos emocionais, psíquicos na população negra. De acordo com Lima (2017), a violência epistemológica na produção do conhecimento contribui para um processo de negação que marginaliza vozes e experiências de grupos minoritários.</w:t>
      </w:r>
    </w:p>
    <w:p w14:paraId="4EB17759"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O conceito de “lugar de fala” é essencial para o entendimento das questões enfrentadas pela população negra e outras minorias, sendo definido como a capacidade de falar a partir do lugar que a pessoa pertence, considerando o lugar social ocupado. No contexto da população negra, o lugar de fala permite que as próprias pessoas falem sobre seus desafios, vivências e lutas por seus direitos, em vez de serem retratados por pessoas as quais não se identificam (R</w:t>
      </w:r>
      <w:r>
        <w:rPr>
          <w:rFonts w:ascii="Times New Roman" w:hAnsi="Times New Roman" w:cs="Times New Roman"/>
          <w:sz w:val="24"/>
          <w:szCs w:val="24"/>
        </w:rPr>
        <w:t>IBEIRO</w:t>
      </w:r>
      <w:r w:rsidRPr="00224E29">
        <w:rPr>
          <w:rFonts w:ascii="Times New Roman" w:hAnsi="Times New Roman" w:cs="Times New Roman"/>
          <w:sz w:val="24"/>
          <w:szCs w:val="24"/>
        </w:rPr>
        <w:t xml:space="preserve">, 2019). </w:t>
      </w:r>
    </w:p>
    <w:p w14:paraId="093C6D6C" w14:textId="77777777" w:rsidR="00C627F1" w:rsidRPr="00224E29" w:rsidRDefault="00C627F1" w:rsidP="00700FEF">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O lugar de fala possibilita que as estruturas historicamente construídas e mantidas em um padrão social como superiores sejam desafiadas, permitindo que os indivíduos que se mantinham com as vozes silenciadas possam expor suas opiniões. É igualmente fundamental que as pessoas que estão em um lugar de privilégio pensem criticamente sobre a posição que ocupam, percebendo a si e seus privilégios, compreendendo que ao estar neste lugar podem estar causando, de certa forma, opressão ao outro. </w:t>
      </w:r>
    </w:p>
    <w:p w14:paraId="6E3E84C6" w14:textId="77777777" w:rsidR="00C627F1" w:rsidRPr="00224E29" w:rsidRDefault="00C627F1" w:rsidP="00700FEF">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 Cida Bento (2022) retrata em seu livro, </w:t>
      </w:r>
      <w:r w:rsidRPr="00224E29">
        <w:rPr>
          <w:rFonts w:ascii="Times New Roman" w:hAnsi="Times New Roman" w:cs="Times New Roman"/>
          <w:i/>
          <w:sz w:val="24"/>
          <w:szCs w:val="24"/>
        </w:rPr>
        <w:t>Pacto da branquitude</w:t>
      </w:r>
      <w:r w:rsidRPr="00224E29">
        <w:rPr>
          <w:rFonts w:ascii="Times New Roman" w:hAnsi="Times New Roman" w:cs="Times New Roman"/>
          <w:sz w:val="24"/>
          <w:szCs w:val="24"/>
        </w:rPr>
        <w:t>,</w:t>
      </w:r>
      <w:r w:rsidRPr="00224E29">
        <w:rPr>
          <w:rFonts w:ascii="Times New Roman" w:hAnsi="Times New Roman" w:cs="Times New Roman"/>
          <w:i/>
          <w:sz w:val="24"/>
          <w:szCs w:val="24"/>
        </w:rPr>
        <w:t xml:space="preserve"> </w:t>
      </w:r>
      <w:r w:rsidRPr="00224E29">
        <w:rPr>
          <w:rFonts w:ascii="Times New Roman" w:hAnsi="Times New Roman" w:cs="Times New Roman"/>
          <w:sz w:val="24"/>
          <w:szCs w:val="24"/>
        </w:rPr>
        <w:t>a “herança” de privilégios que é passado de uma geração à outra e como esses privilégios impactam diretamente em melhores condições de vida para um grupo específico da população. Este mesmo grupo acredita que o conceito de meritocracia é o resultado do desempenho pessoal do indivíduo, sendo ele unicamente responsável pelo lugar que ocupa na sociedade. Uma crença falsa que alcança uma conclusão igualmente falsa.</w:t>
      </w:r>
    </w:p>
    <w:p w14:paraId="6F789723"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As experiências comuns que são resultantes do lugar social a qual ocupam, impendem que a população negra tenha acesso a certos espaços. Entendemos assim o lugar de fala. Há lugares que, por essa população não poder acessar, resulta na não existência de experiências epistemológica desses grupos, como é o exemplo da presença nas universidades, na política, nos meios de comunicação etc. O falar não se limita apenas no ato de emitir palavras. O lugar de fala é pensado como uma forma de tentar ressignificar a hierarquização de saberes.  </w:t>
      </w:r>
    </w:p>
    <w:p w14:paraId="004B199F"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O saber do psicólogo se limita muitas vezes ao que é passado através das universidades, fazendo com que alguns conhecimentos sejam demarcados por discursos que são derivados da maioria excludente. Questões trazidas nos livros acadêmicos relatam realidades europeias, brancas e masculinizadas, sem considerar outras culturas e determinantes sociais, fazendo com que o profissional não tenha conhecimento de como lidar com outras realidades.</w:t>
      </w:r>
    </w:p>
    <w:p w14:paraId="5C229EA2"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Um grande desafio para o psicólogo é conseguir se colocar no lugar do paciente perante os sofrimentos psíquicos advindos de questões sociais. A maneira mais adequada de se colocar frente ao paciente é com um comportamento de alteridade, reconhecendo e compreendendo o outro a partir das suas singularidades, compreendendo as equivalências. Reconhecendo o que não se sabe sobre o outro.</w:t>
      </w:r>
    </w:p>
    <w:p w14:paraId="372C9DB2"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É importante atentar-se à voz de experiências marginalizadas que pluralizam o entendimento sobre a luta contra o racismo, enfatizando a necessidade de ouvir as pessoas que muitas vezes são ignoradas ou silenciadas. A interseccionalidade é fundamental para entender que o racismo não opera isoladamente, mas se entrelaça com outras formas de opressão. Com isso, destaca-se a necessidade de uma escuta profissional ativa e críticas às práticas realizadas pelo psicólogo durante os atendimentos da população negra na clínica psicológica.  </w:t>
      </w:r>
    </w:p>
    <w:p w14:paraId="3AE2DE73" w14:textId="77777777" w:rsidR="00C627F1" w:rsidRPr="00224E29" w:rsidRDefault="00C627F1" w:rsidP="00C627F1">
      <w:pPr>
        <w:rPr>
          <w:rFonts w:ascii="Times New Roman" w:hAnsi="Times New Roman" w:cs="Times New Roman"/>
          <w:b/>
          <w:bCs/>
          <w:sz w:val="24"/>
          <w:szCs w:val="24"/>
        </w:rPr>
      </w:pPr>
      <w:r>
        <w:rPr>
          <w:rFonts w:ascii="Times New Roman" w:hAnsi="Times New Roman" w:cs="Times New Roman"/>
          <w:b/>
          <w:bCs/>
          <w:sz w:val="24"/>
          <w:szCs w:val="24"/>
        </w:rPr>
        <w:t xml:space="preserve">2.6 </w:t>
      </w:r>
      <w:r w:rsidRPr="00224E29">
        <w:rPr>
          <w:rFonts w:ascii="Times New Roman" w:hAnsi="Times New Roman" w:cs="Times New Roman"/>
          <w:b/>
          <w:bCs/>
          <w:sz w:val="24"/>
          <w:szCs w:val="24"/>
        </w:rPr>
        <w:t>A CLÍNICA PSICOLÓGICA E OS DISPOSITIVOS DE RACIALIDADE</w:t>
      </w:r>
    </w:p>
    <w:p w14:paraId="2C7CBE51" w14:textId="14A40270" w:rsidR="00C627F1" w:rsidRPr="00224E29" w:rsidRDefault="00C627F1" w:rsidP="00C627F1">
      <w:pPr>
        <w:spacing w:after="0" w:line="360" w:lineRule="auto"/>
        <w:ind w:firstLine="851"/>
        <w:jc w:val="both"/>
        <w:rPr>
          <w:rFonts w:ascii="Times New Roman" w:hAnsi="Times New Roman" w:cs="Times New Roman"/>
          <w:color w:val="FF0000"/>
          <w:sz w:val="24"/>
          <w:szCs w:val="24"/>
        </w:rPr>
      </w:pPr>
      <w:r w:rsidRPr="00224E29">
        <w:rPr>
          <w:rFonts w:ascii="Times New Roman" w:hAnsi="Times New Roman" w:cs="Times New Roman"/>
          <w:sz w:val="24"/>
          <w:szCs w:val="24"/>
        </w:rPr>
        <w:t>A clínica psicológica, assim como quase todo o fundamento da ciência psicológica no Brasil, foi normalizada com características da teoria que tem como base o ideal de uma sociedade colonizada, levando em consideração questões pessoais do indivíduo onde os valores estimados estão vinculados a um tipo de corpo e cor específica (</w:t>
      </w:r>
      <w:r w:rsidR="00700FEF" w:rsidRPr="00224E29">
        <w:rPr>
          <w:rFonts w:ascii="Times New Roman" w:hAnsi="Times New Roman" w:cs="Times New Roman"/>
          <w:sz w:val="24"/>
          <w:szCs w:val="24"/>
        </w:rPr>
        <w:t>PEREIRA, et al</w:t>
      </w:r>
      <w:r w:rsidRPr="00224E29">
        <w:rPr>
          <w:rFonts w:ascii="Times New Roman" w:hAnsi="Times New Roman" w:cs="Times New Roman"/>
          <w:sz w:val="24"/>
          <w:szCs w:val="24"/>
        </w:rPr>
        <w:t xml:space="preserve">, 2022). As questões que normalmente são trazidas para dentro do </w:t>
      </w:r>
      <w:r w:rsidRPr="00224E29">
        <w:rPr>
          <w:rFonts w:ascii="Times New Roman" w:hAnsi="Times New Roman" w:cs="Times New Roman"/>
          <w:i/>
          <w:sz w:val="24"/>
          <w:szCs w:val="24"/>
        </w:rPr>
        <w:t>setting</w:t>
      </w:r>
      <w:r w:rsidRPr="00224E29">
        <w:rPr>
          <w:rFonts w:ascii="Times New Roman" w:hAnsi="Times New Roman" w:cs="Times New Roman"/>
          <w:sz w:val="24"/>
          <w:szCs w:val="24"/>
        </w:rPr>
        <w:t xml:space="preserve"> terapêutico pela população negra vão além do entendimento inicial sobre os efeitos da colonização, se tornando de forma inconsciente uma descolonização do imaginário</w:t>
      </w:r>
      <w:r w:rsidRPr="00224E29">
        <w:rPr>
          <w:rFonts w:ascii="Times New Roman" w:hAnsi="Times New Roman" w:cs="Times New Roman"/>
          <w:sz w:val="24"/>
          <w:szCs w:val="24"/>
          <w:vertAlign w:val="superscript"/>
        </w:rPr>
        <w:footnoteReference w:id="5"/>
      </w:r>
      <w:r w:rsidRPr="00224E29">
        <w:rPr>
          <w:rFonts w:ascii="Times New Roman" w:hAnsi="Times New Roman" w:cs="Times New Roman"/>
          <w:sz w:val="24"/>
          <w:szCs w:val="24"/>
        </w:rPr>
        <w:t>.</w:t>
      </w:r>
    </w:p>
    <w:p w14:paraId="489DE96A"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Frantz Fanon (1983), nos deu condições </w:t>
      </w:r>
      <w:r>
        <w:rPr>
          <w:rFonts w:ascii="Times New Roman" w:hAnsi="Times New Roman" w:cs="Times New Roman"/>
          <w:sz w:val="24"/>
          <w:szCs w:val="24"/>
        </w:rPr>
        <w:t>para</w:t>
      </w:r>
      <w:r w:rsidRPr="00224E29">
        <w:rPr>
          <w:rFonts w:ascii="Times New Roman" w:hAnsi="Times New Roman" w:cs="Times New Roman"/>
          <w:sz w:val="24"/>
          <w:szCs w:val="24"/>
        </w:rPr>
        <w:t xml:space="preserve"> pensar a emergência do indivíduo negro, não somente ligado a particularidades do divã, mas refletindo sobre a determinação histórica desse indivíduo. Devemos compreender a partir disso as condições do indivíduo que possibilitaram a formação e organização de si e a própria ideia do que é ser negro. A identidade formada possibilita a identificação com aquilo que constitui o que o indivíduo considera ser seu, elaborando a relação consigo, com os outros e com o social que o cerca.  Os impactos do racismo e do colonialismo tem influência no manejo da clínica psicológica, visto que essas ações podem acarretar impactos significativos na saúde mental da população negra, fazendo com que os psicólogos precisam estar preparados para fornecer um espaço seguro e de acolhimento, onde os pacientes se sintam à vontade para discutir as experiências raciais que os atravessam.  </w:t>
      </w:r>
    </w:p>
    <w:p w14:paraId="6D1065FD" w14:textId="77777777" w:rsidR="00C627F1" w:rsidRPr="00224E29" w:rsidRDefault="00C627F1" w:rsidP="0027481C">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Outro conceito essencial discutido por Fanon em suas obras, especialmente em “</w:t>
      </w:r>
      <w:r w:rsidRPr="00224E29">
        <w:rPr>
          <w:rFonts w:ascii="Times New Roman" w:hAnsi="Times New Roman" w:cs="Times New Roman"/>
          <w:i/>
          <w:sz w:val="24"/>
          <w:szCs w:val="24"/>
        </w:rPr>
        <w:t>Pele Negra, Máscaras Brancas</w:t>
      </w:r>
      <w:r w:rsidRPr="00224E29">
        <w:rPr>
          <w:rFonts w:ascii="Times New Roman" w:hAnsi="Times New Roman" w:cs="Times New Roman"/>
          <w:sz w:val="24"/>
          <w:szCs w:val="24"/>
        </w:rPr>
        <w:t>, 1983”, é a despersonalização do negro. Neste termo ele se refere ao processo pelo qual as pessoas negras são privad</w:t>
      </w:r>
      <w:r>
        <w:rPr>
          <w:rFonts w:ascii="Times New Roman" w:hAnsi="Times New Roman" w:cs="Times New Roman"/>
          <w:sz w:val="24"/>
          <w:szCs w:val="24"/>
        </w:rPr>
        <w:t>as</w:t>
      </w:r>
      <w:r w:rsidRPr="00224E29">
        <w:rPr>
          <w:rFonts w:ascii="Times New Roman" w:hAnsi="Times New Roman" w:cs="Times New Roman"/>
          <w:sz w:val="24"/>
          <w:szCs w:val="24"/>
        </w:rPr>
        <w:t xml:space="preserve"> de sua humanidade, individualidade e identidade própria devido à influência do racismo e da colonização. As pessoas negras são frequentemente reduzidas a estereótipos, em vez de serem reconhecidas como indivíduos únicos e complexos, sendo discriminadas tanto a nível institucional quanto interpessoal. </w:t>
      </w:r>
    </w:p>
    <w:p w14:paraId="29259CFD" w14:textId="77777777" w:rsidR="00C627F1" w:rsidRPr="00224E29" w:rsidRDefault="00C627F1" w:rsidP="0027481C">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A luta contra a desumanização envolve a reafirmação da dignidade e individualidade das pessoas negras, valorizando suas próprias histórias, culturas e contribuições para o mundo, desafiando de forma ativa as estruturas que perpetuem a despersonalização e a opressão. Torna-se essencial o papel do psicólogo em promover a saúde mental das pessoas que enfrentam a despersonalização racial, oferecendo suporte emocional para lidar com as questões de maneira construtiva.</w:t>
      </w:r>
    </w:p>
    <w:p w14:paraId="230455FA"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No livro “</w:t>
      </w:r>
      <w:r w:rsidRPr="00224E29">
        <w:rPr>
          <w:rFonts w:ascii="Times New Roman" w:hAnsi="Times New Roman" w:cs="Times New Roman"/>
          <w:i/>
          <w:sz w:val="24"/>
          <w:szCs w:val="24"/>
        </w:rPr>
        <w:t>Pacto da Branquitude</w:t>
      </w:r>
      <w:r w:rsidRPr="00224E29">
        <w:rPr>
          <w:rFonts w:ascii="Times New Roman" w:hAnsi="Times New Roman" w:cs="Times New Roman"/>
          <w:sz w:val="24"/>
          <w:szCs w:val="24"/>
        </w:rPr>
        <w:t xml:space="preserve">”, de Cida Bento (2022), é abordado o assunto de como o racismo é perpetuado através de estereótipos e preconceitos sobre as pessoas negras, fazendo com que os efeitos sobre esses atos sejam ramificados, atingindo as áreas psicológicas, sociais e políticas. O racismo não é apenas um problema de atitudes individuais, mas está enraizado em sistemas de poder e dominação. Com isso, mostra-se essencial o pensamento de Cida Bento sobre a descolonização mental, como forma de se libertar das ideologias e estruturas coloniais internalizadas, com objetivo de alcançar a emancipação.  </w:t>
      </w:r>
    </w:p>
    <w:p w14:paraId="786316E8" w14:textId="2B31C6A4" w:rsidR="00C627F1" w:rsidRPr="00224E29" w:rsidRDefault="00C627F1" w:rsidP="00C627F1">
      <w:pPr>
        <w:spacing w:after="0" w:line="360" w:lineRule="auto"/>
        <w:ind w:firstLine="851"/>
        <w:jc w:val="both"/>
        <w:rPr>
          <w:rFonts w:ascii="Times New Roman" w:hAnsi="Times New Roman" w:cs="Times New Roman"/>
          <w:sz w:val="24"/>
          <w:szCs w:val="24"/>
          <w:highlight w:val="yellow"/>
        </w:rPr>
      </w:pPr>
      <w:r w:rsidRPr="00224E29">
        <w:rPr>
          <w:rFonts w:ascii="Times New Roman" w:hAnsi="Times New Roman" w:cs="Times New Roman"/>
          <w:sz w:val="24"/>
          <w:szCs w:val="24"/>
        </w:rPr>
        <w:t>Para Neusa Santos Souza, ser negro no Brasil vai além de ter consciência sobre o processo ideológico pelo qual se passa durante a sua formação como sujeito, mas sim tomar posse dessa consciência e modificá-la para algo que represente a sua dignidade. O sujeito precisa organizar possibilidades que lhe permitirão construir sua identidade negra. Ao trazer relatos sobre a construção e a experiência dessa identidade para a clínica, percebe-se que o sujeito está rompendo com a idealização do ideal imposto pela sociedade e caminhando para uma possível aceitação da sua identidade. “Ser negro não é uma condição dada, a priori. É um vir a ser. Ser negro é tornar-se negro” (S</w:t>
      </w:r>
      <w:r>
        <w:rPr>
          <w:rFonts w:ascii="Times New Roman" w:hAnsi="Times New Roman" w:cs="Times New Roman"/>
          <w:sz w:val="24"/>
          <w:szCs w:val="24"/>
        </w:rPr>
        <w:t>OUZA</w:t>
      </w:r>
      <w:r w:rsidRPr="00224E29">
        <w:rPr>
          <w:rFonts w:ascii="Times New Roman" w:hAnsi="Times New Roman" w:cs="Times New Roman"/>
          <w:sz w:val="24"/>
          <w:szCs w:val="24"/>
        </w:rPr>
        <w:t>, 2021</w:t>
      </w:r>
      <w:r w:rsidR="0027481C">
        <w:rPr>
          <w:rFonts w:ascii="Times New Roman" w:hAnsi="Times New Roman" w:cs="Times New Roman"/>
          <w:sz w:val="24"/>
          <w:szCs w:val="24"/>
        </w:rPr>
        <w:t xml:space="preserve">: </w:t>
      </w:r>
      <w:r w:rsidRPr="00224E29">
        <w:rPr>
          <w:rFonts w:ascii="Times New Roman" w:hAnsi="Times New Roman" w:cs="Times New Roman"/>
          <w:sz w:val="24"/>
          <w:szCs w:val="24"/>
        </w:rPr>
        <w:t>115).</w:t>
      </w:r>
    </w:p>
    <w:p w14:paraId="0C72C03D"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É fundamental que o psicólogo, durante a atuação na clínica psicológica, compreenda a diversidade étnico-racial e as experiências de grupos historicamente marginalizados, contribuindo para a redução de disparidades de saúde mental. A promoção da saúde mental da população negra se torna essencial para o enfrentamento de questões que causam impactos significativos, aplicando políticas que enfrentam o racismo estrutural e garantam que as necessidades desta população sejam adequadamente atendidas.</w:t>
      </w:r>
    </w:p>
    <w:p w14:paraId="2945A4AD"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Quando a questão racial é pensada nas formações acadêmicas, refere-se apenas a história vivida pelos negros durante os anos de escravidão e como enfrentaram esse episódio, desconsiderando toda a contribuição intelectual trazida por essa população em diferentes campos de estudo. A questão do letramento racial surge como a possibilidade de luta contra o racismo dentro e fora do ambiente clínico, trazendo consigo a oportunidade de crescimento, justiça social e igualdade racial. </w:t>
      </w:r>
    </w:p>
    <w:p w14:paraId="6FCB4362"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A busca por igualdade dentro dos ambientes apresenta a necessidade de promover diversos aspectos, partindo por meio de princípios desenvolvidos com objetivo de contribuir para a construção de uma comunidade mais justa e inclusiva. A promoção do letramento racial é uma das formas de superar o racismo dentro da sociedade, estabelecendo espaços seguros e inclusivos, onde se pode discutir abertamente sobre questões raciais. A implementação de políticas que prezem pela diversidade na ocupação de cargos e lugares onde essa população não ocupa, pode contribuir para eliminar as barreiras sistemáticas que as pessoas de minorias raciais enfrentam em suas vidas pessoais e profissionais.</w:t>
      </w:r>
    </w:p>
    <w:p w14:paraId="63E4EBD4"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O Letramento Racial é uma ferramenta capaz de nos ajudar a perceber como a raça opera na sociedade, sendo uma forma de ler o mundo (SEVERO, 2021), compreendendo que os privilégios da branquitude vem a partir da opressão de outro grupo. Os privilégios que cercam a branquitude causam desigualdades e injustiças em diversos contextos sociais, sendo necessário o reconhecimento da existência desses privilégios por parte da população favorecida e a desconstrução de conceitos que atingem diretamente a população negra.</w:t>
      </w:r>
    </w:p>
    <w:p w14:paraId="60380D23" w14:textId="3C7A769B" w:rsidR="00C627F1" w:rsidRPr="00224E29" w:rsidRDefault="00C627F1" w:rsidP="00C627F1">
      <w:pPr>
        <w:spacing w:after="0" w:line="240" w:lineRule="auto"/>
        <w:ind w:left="2268"/>
        <w:jc w:val="both"/>
        <w:rPr>
          <w:rFonts w:ascii="Times New Roman" w:hAnsi="Times New Roman" w:cs="Times New Roman"/>
          <w:sz w:val="20"/>
          <w:szCs w:val="20"/>
        </w:rPr>
      </w:pPr>
      <w:r w:rsidRPr="00224E29">
        <w:rPr>
          <w:rFonts w:ascii="Times New Roman" w:hAnsi="Times New Roman" w:cs="Times New Roman"/>
          <w:sz w:val="20"/>
          <w:szCs w:val="20"/>
        </w:rPr>
        <w:t>Os brancos controlam os meios de disseminar as informações; o aparelho educacional; eles formulam os conceitos, as armas e os valores do país (N</w:t>
      </w:r>
      <w:r>
        <w:rPr>
          <w:rFonts w:ascii="Times New Roman" w:hAnsi="Times New Roman" w:cs="Times New Roman"/>
          <w:sz w:val="20"/>
          <w:szCs w:val="20"/>
        </w:rPr>
        <w:t>ASCIMENTO</w:t>
      </w:r>
      <w:r w:rsidRPr="00224E29">
        <w:rPr>
          <w:rFonts w:ascii="Times New Roman" w:hAnsi="Times New Roman" w:cs="Times New Roman"/>
          <w:sz w:val="20"/>
          <w:szCs w:val="20"/>
        </w:rPr>
        <w:t>, 2016</w:t>
      </w:r>
      <w:r w:rsidR="0027481C">
        <w:rPr>
          <w:rFonts w:ascii="Times New Roman" w:hAnsi="Times New Roman" w:cs="Times New Roman"/>
          <w:sz w:val="20"/>
          <w:szCs w:val="20"/>
        </w:rPr>
        <w:t>:</w:t>
      </w:r>
      <w:r w:rsidRPr="00224E29">
        <w:rPr>
          <w:rFonts w:ascii="Times New Roman" w:hAnsi="Times New Roman" w:cs="Times New Roman"/>
          <w:sz w:val="20"/>
          <w:szCs w:val="20"/>
        </w:rPr>
        <w:t xml:space="preserve">54). </w:t>
      </w:r>
    </w:p>
    <w:p w14:paraId="615CF1D9" w14:textId="77777777" w:rsidR="00C627F1" w:rsidRPr="00224E29" w:rsidRDefault="00C627F1" w:rsidP="00C627F1">
      <w:pPr>
        <w:spacing w:after="0"/>
        <w:ind w:left="2268"/>
        <w:jc w:val="both"/>
        <w:rPr>
          <w:rFonts w:ascii="Times New Roman" w:hAnsi="Times New Roman" w:cs="Times New Roman"/>
          <w:sz w:val="24"/>
          <w:szCs w:val="24"/>
        </w:rPr>
      </w:pPr>
    </w:p>
    <w:p w14:paraId="45B6EE85"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O letramento racial refere-se à capacidade de compreender e analisar questões raciais, envolvendo o desenvolvimento de habilidades para dialogar, de maneira construtiva, sobre o agir em prol da justiça racial. Com isso, é importante que as instituições educacionais assumam o compromisso de mudança sobre esses assuntos durante a formação profissional do psicólogo, buscando gerar consciência através do conhecimento dado e abrindo portas para debates. Para isso, a luta contra o racismo e o preconceito precisa ser compreendida como um dever de todos, buscando e exigindo mudanças em todas as áreas da vida. </w:t>
      </w:r>
    </w:p>
    <w:p w14:paraId="15E9323F"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Além disso, vale destacar os efeitos das desigualdades sociais em saúde que afetam grupos raciais e étnicos, resultando da iniquidade em disparidades no acesso a serviços de saúde e na qualidade do atendimento oferecido. A promoção do letramento racial entre as comunidades afetadas permite a prevenção das injustiças que vivem e a capacitação para buscarem alternativas de enfrentamento. Ainda vale destacar a importância da promoção do letramento racial entre os profissionais de saúde, sendo fundamental para redução das iniquidades em saúde e melhoria dos resultados dos serviços para populações historicamente marginalizadas.</w:t>
      </w:r>
    </w:p>
    <w:p w14:paraId="3EAD0D08" w14:textId="77777777" w:rsidR="0027481C" w:rsidRDefault="0027481C" w:rsidP="0027481C">
      <w:pPr>
        <w:spacing w:after="0" w:line="360" w:lineRule="auto"/>
        <w:rPr>
          <w:rFonts w:ascii="Times New Roman" w:hAnsi="Times New Roman" w:cs="Times New Roman"/>
          <w:b/>
          <w:bCs/>
          <w:sz w:val="24"/>
          <w:szCs w:val="24"/>
        </w:rPr>
      </w:pPr>
    </w:p>
    <w:p w14:paraId="66F61DAA" w14:textId="4124DFDE" w:rsidR="00C627F1" w:rsidRPr="00224E29" w:rsidRDefault="00C627F1" w:rsidP="00C627F1">
      <w:pPr>
        <w:rPr>
          <w:rFonts w:ascii="Times New Roman" w:hAnsi="Times New Roman" w:cs="Times New Roman"/>
          <w:b/>
          <w:bCs/>
          <w:sz w:val="24"/>
          <w:szCs w:val="24"/>
        </w:rPr>
      </w:pPr>
      <w:r>
        <w:rPr>
          <w:rFonts w:ascii="Times New Roman" w:hAnsi="Times New Roman" w:cs="Times New Roman"/>
          <w:b/>
          <w:bCs/>
          <w:sz w:val="24"/>
          <w:szCs w:val="24"/>
        </w:rPr>
        <w:t>3.</w:t>
      </w:r>
      <w:r w:rsidRPr="00224E29">
        <w:rPr>
          <w:rFonts w:ascii="Times New Roman" w:hAnsi="Times New Roman" w:cs="Times New Roman"/>
          <w:b/>
          <w:bCs/>
          <w:sz w:val="24"/>
          <w:szCs w:val="24"/>
        </w:rPr>
        <w:t>ANÁLISES E DISCUSSÕES</w:t>
      </w:r>
    </w:p>
    <w:p w14:paraId="0ADCE225" w14:textId="77777777" w:rsidR="00C627F1" w:rsidRPr="00224E29" w:rsidRDefault="00C627F1" w:rsidP="00C627F1">
      <w:pPr>
        <w:rPr>
          <w:rFonts w:ascii="Times New Roman" w:hAnsi="Times New Roman" w:cs="Times New Roman"/>
          <w:b/>
          <w:bCs/>
          <w:sz w:val="24"/>
          <w:szCs w:val="24"/>
        </w:rPr>
      </w:pPr>
      <w:r>
        <w:rPr>
          <w:rFonts w:ascii="Times New Roman" w:hAnsi="Times New Roman" w:cs="Times New Roman"/>
          <w:b/>
          <w:bCs/>
          <w:sz w:val="24"/>
          <w:szCs w:val="24"/>
        </w:rPr>
        <w:t xml:space="preserve">3.1 </w:t>
      </w:r>
      <w:r w:rsidRPr="00224E29">
        <w:rPr>
          <w:rFonts w:ascii="Times New Roman" w:hAnsi="Times New Roman" w:cs="Times New Roman"/>
          <w:b/>
          <w:bCs/>
          <w:sz w:val="24"/>
          <w:szCs w:val="24"/>
        </w:rPr>
        <w:t>ANÁLISES QUANTITATIVAS</w:t>
      </w:r>
    </w:p>
    <w:p w14:paraId="56DC61AF" w14:textId="77777777" w:rsidR="00C627F1" w:rsidRPr="00224E29" w:rsidRDefault="00C627F1" w:rsidP="00C627F1">
      <w:pPr>
        <w:spacing w:before="240" w:after="24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Seis psicólogos foram entrevistados, sendo 02 do gênero masculino e 04 do feminino. Em relação a idade, 2 entre (20 – 30 anos); 02 entre (30-40 anos) e 02 entre (40 – 50 anos). Em relação aos anos de formação: 1 entre (2000 – 2010); 1 entre (2010 – 2020) e 4 entre (2020-2024). Dois se autodeclararam brancos e quatro, negros. Tempo de atuação clínica: 2 (menos de 1 ano); 3 (1 a 5 anos); 0 (6 a 10 anos); 1 com mais de 10 anos. Distribuição por público atendido: 03 psicólogos atendem crianças; 05 atendem adolescentes; 03 idosos e todos atendem adultos.</w:t>
      </w:r>
    </w:p>
    <w:p w14:paraId="5F9C51E9" w14:textId="77777777" w:rsidR="00C627F1" w:rsidRPr="00224E29" w:rsidRDefault="00C627F1" w:rsidP="00C627F1">
      <w:pPr>
        <w:rPr>
          <w:rFonts w:ascii="Times New Roman" w:hAnsi="Times New Roman" w:cs="Times New Roman"/>
          <w:b/>
          <w:bCs/>
          <w:sz w:val="24"/>
          <w:szCs w:val="24"/>
        </w:rPr>
      </w:pPr>
      <w:r>
        <w:rPr>
          <w:rFonts w:ascii="Times New Roman" w:hAnsi="Times New Roman" w:cs="Times New Roman"/>
          <w:b/>
          <w:bCs/>
          <w:sz w:val="24"/>
          <w:szCs w:val="24"/>
        </w:rPr>
        <w:t xml:space="preserve">3.2 </w:t>
      </w:r>
      <w:r w:rsidRPr="00224E29">
        <w:rPr>
          <w:rFonts w:ascii="Times New Roman" w:hAnsi="Times New Roman" w:cs="Times New Roman"/>
          <w:b/>
          <w:bCs/>
          <w:sz w:val="24"/>
          <w:szCs w:val="24"/>
        </w:rPr>
        <w:t>ANÁLISE QUALITATIVA</w:t>
      </w:r>
    </w:p>
    <w:p w14:paraId="0AFF4199"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A compreensão das relações entre as informações trazidas durante as entrevistas se torna crucial para a análise dos dados. Os discursos que se alinham entre si reforçam as hipóteses da pesquisa, oferecendo suporte às conclusões. Entretanto, os dados que revelam contradições podem indicar interpretações que se influenciam pelo contexto pessoal dos entrevistados ou novas áreas de investigações a serem exploradas. </w:t>
      </w:r>
    </w:p>
    <w:p w14:paraId="7D8437E9"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Durante as entrevistas, ocorreram inúmeros relatos sobre a formação em psicologia, destacando-se pela falta da diversidade da literatura de autores negros e até mesmo a conscientização sobre as questões raciais durante o curso. A maior parte dos psicólogos entrevistados concordou que a escassez de literatura escrita por autores negros limita a compreensão das experiencias e desafios únicos enfrentados por pacientes negros. Muitos destacaram que a falta de referências adequadas dificulta a integração de abordagens culturalmente informadas em suas práticas. O psicólogo N2, quando perguntado sobre as possíveis lacunas ou falta de representação na literatura psicológica sobre a prática clínica com a população negra, respondeu:</w:t>
      </w:r>
    </w:p>
    <w:p w14:paraId="5461E1BA" w14:textId="77777777" w:rsidR="00C627F1" w:rsidRPr="007008B8" w:rsidRDefault="00C627F1" w:rsidP="00C627F1">
      <w:pPr>
        <w:spacing w:before="240" w:line="240" w:lineRule="auto"/>
        <w:ind w:left="2268"/>
        <w:jc w:val="both"/>
        <w:rPr>
          <w:rFonts w:ascii="Times New Roman" w:hAnsi="Times New Roman" w:cs="Times New Roman"/>
          <w:sz w:val="20"/>
          <w:szCs w:val="20"/>
        </w:rPr>
      </w:pPr>
      <w:r w:rsidRPr="007008B8">
        <w:rPr>
          <w:rFonts w:ascii="Times New Roman" w:hAnsi="Times New Roman" w:cs="Times New Roman"/>
          <w:sz w:val="20"/>
          <w:szCs w:val="20"/>
        </w:rPr>
        <w:t>Diria que sim, mas compreendo também que a minha visão, ela é um recorte, né? Então, é limitada. Então, eu tenho diversos pontos cegos aqui, né? A partir do momento que meu foco está numa psicoterapia junguiana, uma psicologia analítica, eu busco referências nesse meio. E é desafiador, né? É desafiador.</w:t>
      </w:r>
    </w:p>
    <w:p w14:paraId="4A1D6E9E" w14:textId="77777777" w:rsidR="00C627F1" w:rsidRPr="00224E29" w:rsidRDefault="00C627F1" w:rsidP="00C627F1">
      <w:pPr>
        <w:spacing w:before="24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Psicólogos que relataram a busca em se aprofundar em questões raciais, encontraram também dificuldades de alcançar autores compatíveis com a abordagem utilizada por eles na clínica, o que muitas vezes os levou a recorrer a autores que não tem formação em psicologia, mas sim em sociologia e antropologia. N4 apontou que:</w:t>
      </w:r>
    </w:p>
    <w:p w14:paraId="66297944" w14:textId="77777777" w:rsidR="00C627F1" w:rsidRPr="007008B8" w:rsidRDefault="00C627F1" w:rsidP="00C627F1">
      <w:pPr>
        <w:spacing w:before="240" w:line="240" w:lineRule="auto"/>
        <w:ind w:left="2268"/>
        <w:jc w:val="both"/>
        <w:rPr>
          <w:rFonts w:ascii="Times New Roman" w:hAnsi="Times New Roman" w:cs="Times New Roman"/>
          <w:sz w:val="20"/>
          <w:szCs w:val="20"/>
        </w:rPr>
      </w:pPr>
      <w:r w:rsidRPr="007008B8">
        <w:rPr>
          <w:rFonts w:ascii="Times New Roman" w:hAnsi="Times New Roman" w:cs="Times New Roman"/>
          <w:sz w:val="20"/>
          <w:szCs w:val="20"/>
        </w:rPr>
        <w:t>Assim como boa parte dos autores que a gente estuda são de fora, não são autores brasileiros, a mesma coisa em relação à questão racial. Não estudamos, não vemos com frequência autores negros. Para ser muito sincera, Djamila Ribeiro, por exemplo, que não é nem psicóloga, mas assim, fui começar a ter mais contato com a escrita, com tudo dela, já no final da faculdade...</w:t>
      </w:r>
    </w:p>
    <w:p w14:paraId="601E05AF" w14:textId="77777777" w:rsidR="00C627F1" w:rsidRPr="00224E29" w:rsidRDefault="00C627F1" w:rsidP="00C627F1">
      <w:pPr>
        <w:spacing w:before="240"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Assim, ressalta-se a importância da promoção da inclusão de vozes negras na literatura da psicologia, visando não apenas auxiliar na prática clínica, mas também oferecer espaço para a diversidade durante a formação de psicólogos, fazendo com que sejam capazes de lidar e acolher as demandas dessa população. Por outro lado, alguns psicólogos argumentam que, mesmo a literatura negra sendo escassa, não deveria ser impedimento para um atendimento eficaz com essa população, ressaltando a importância de adaptar as literaturas das teorias existentes às realidades dos pacientes, utilizando uma abordagem mais flexível e crítica. </w:t>
      </w:r>
    </w:p>
    <w:p w14:paraId="7ACCFE8F" w14:textId="77777777" w:rsidR="00C627F1" w:rsidRPr="00224E29" w:rsidRDefault="00C627F1" w:rsidP="00C627F1">
      <w:pPr>
        <w:spacing w:after="0" w:line="360" w:lineRule="auto"/>
        <w:ind w:firstLine="851"/>
        <w:jc w:val="both"/>
        <w:rPr>
          <w:rFonts w:ascii="Times New Roman" w:hAnsi="Times New Roman" w:cs="Times New Roman"/>
          <w:i/>
          <w:sz w:val="24"/>
          <w:szCs w:val="24"/>
        </w:rPr>
      </w:pPr>
      <w:r w:rsidRPr="00224E29">
        <w:rPr>
          <w:rFonts w:ascii="Times New Roman" w:hAnsi="Times New Roman" w:cs="Times New Roman"/>
          <w:sz w:val="24"/>
          <w:szCs w:val="24"/>
        </w:rPr>
        <w:t>A entrevistada B2, quando perguntada sobre a forma em que aborda a interseccionalidade na sua prática clínica com os clientes negros, apresentou sua visão de tratamento das questões raciais com seus pacientes como qualquer outro assunto tratado na clínica:</w:t>
      </w:r>
    </w:p>
    <w:p w14:paraId="254EBB0C" w14:textId="77777777" w:rsidR="00C627F1" w:rsidRPr="007008B8" w:rsidRDefault="00C627F1" w:rsidP="00C627F1">
      <w:pPr>
        <w:spacing w:after="0" w:line="240" w:lineRule="auto"/>
        <w:ind w:left="2268"/>
        <w:jc w:val="both"/>
        <w:rPr>
          <w:rFonts w:ascii="Times New Roman" w:hAnsi="Times New Roman" w:cs="Times New Roman"/>
          <w:sz w:val="20"/>
          <w:szCs w:val="20"/>
        </w:rPr>
      </w:pPr>
      <w:r w:rsidRPr="007008B8">
        <w:rPr>
          <w:rFonts w:ascii="Times New Roman" w:hAnsi="Times New Roman" w:cs="Times New Roman"/>
          <w:sz w:val="20"/>
          <w:szCs w:val="20"/>
        </w:rPr>
        <w:t>Da maneira como a gente trata qualquer outra coisa, né? Podemos tratar o racismo como essas questões, como a gente trataria o trauma, como trataria o bullying e as outras questões. As dificuldades que a pessoa tem, se é que é uma dificuldade dela, né? Muitas das vezes não têm. Mas da mesma maneira que se ela me traz uma questão que não tem a ver com a raça.</w:t>
      </w:r>
    </w:p>
    <w:p w14:paraId="090AB84F"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312A6F">
        <w:rPr>
          <w:rFonts w:ascii="Times New Roman" w:hAnsi="Times New Roman" w:cs="Times New Roman"/>
          <w:sz w:val="24"/>
          <w:szCs w:val="24"/>
        </w:rPr>
        <w:t xml:space="preserve">Além disso, houve menções de que nem todos os profissionais da área estavam igualmente preparados ou dispostos a lidar com essas questões e buscar novos conhecimentos sobre o assunto, o que levou a uma experiência </w:t>
      </w:r>
      <w:r>
        <w:rPr>
          <w:rFonts w:ascii="Times New Roman" w:hAnsi="Times New Roman" w:cs="Times New Roman"/>
          <w:sz w:val="24"/>
          <w:szCs w:val="24"/>
        </w:rPr>
        <w:t>desprovidas de critérios nos</w:t>
      </w:r>
      <w:r w:rsidRPr="00312A6F">
        <w:rPr>
          <w:rFonts w:ascii="Times New Roman" w:hAnsi="Times New Roman" w:cs="Times New Roman"/>
          <w:sz w:val="24"/>
          <w:szCs w:val="24"/>
        </w:rPr>
        <w:t xml:space="preserve"> atendimentos. Essa discordância entre a intenção de oferecer um atendimento a partir de referenciais teóricos e a realidade de como as questões são abordadas pode indicar a necessidade de uma formação contínua e um maior foco nas práticas clínicas.</w:t>
      </w:r>
    </w:p>
    <w:p w14:paraId="7B4D74E7"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Há diversos fatores que podem ter influenciado diretamente nas respostas dos entrevistados, sendo os mais presentes a formação acadêmica e as experiências pessoais. Os psicólogos que se autodeclararam negros demonstraram maior interesse e buscas anteriores por assuntos relacionados ao tema da pesquisa, reconhecendo, porém, que ainda não adquiriram o conhecimento completo para a atuação na clínica psicológica. Com isso, é comprovada a falta de letramento racial durante a formação, especialização e ao longo da vida profissional de psicólogos, dificultando a formação de uma atuação capaz de contribuir para a construção de uma sociedade mais igualitária e, consequentemente, para a diminuição do racismo. </w:t>
      </w:r>
    </w:p>
    <w:p w14:paraId="658AC9B0" w14:textId="77777777" w:rsidR="00C627F1" w:rsidRPr="00224E29" w:rsidRDefault="00C627F1" w:rsidP="00C627F1">
      <w:pPr>
        <w:spacing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Outro fator que teve grande ênfase durante os discursos foi a questão do acesso da população negra à clínica psicológica, sendo a falta desse acesso tanto por motivos financeiros, quanto por falta de oportunidades. A maior parte dos entrevistados trouxeram nos seus discursos que a questão do acesso é o principal desafio enfrentado ao fornecer atendimento para esta população, fazendo com que essas pessoas não tenham a oportunidade de estar neste espaço de escuta e acolhimento. N1 e N2 apontaram respectivamente, que:</w:t>
      </w:r>
    </w:p>
    <w:p w14:paraId="186843E0" w14:textId="77777777" w:rsidR="00C627F1" w:rsidRPr="007008B8" w:rsidRDefault="00C627F1" w:rsidP="00C627F1">
      <w:pPr>
        <w:spacing w:line="240" w:lineRule="auto"/>
        <w:ind w:left="2268"/>
        <w:jc w:val="both"/>
        <w:rPr>
          <w:rFonts w:ascii="Times New Roman" w:hAnsi="Times New Roman" w:cs="Times New Roman"/>
          <w:sz w:val="20"/>
          <w:szCs w:val="20"/>
        </w:rPr>
      </w:pPr>
      <w:r w:rsidRPr="007008B8">
        <w:rPr>
          <w:rFonts w:ascii="Times New Roman" w:hAnsi="Times New Roman" w:cs="Times New Roman"/>
          <w:sz w:val="20"/>
          <w:szCs w:val="20"/>
        </w:rPr>
        <w:t>Acesso. Porque geralmente a população negra tem menos dinheiro, a maioria da população, e psicoterapia é caro. Não só a psicoterapia que eu ofereço, mas a avaliação neuropsicológica. Então o acesso é mais difícil.”</w:t>
      </w:r>
    </w:p>
    <w:p w14:paraId="7300A12B" w14:textId="77777777" w:rsidR="00C627F1" w:rsidRPr="007008B8" w:rsidRDefault="00C627F1" w:rsidP="00C627F1">
      <w:pPr>
        <w:spacing w:after="0" w:line="360" w:lineRule="auto"/>
        <w:ind w:left="2267"/>
        <w:jc w:val="both"/>
        <w:rPr>
          <w:rFonts w:ascii="Times New Roman" w:hAnsi="Times New Roman" w:cs="Times New Roman"/>
          <w:sz w:val="20"/>
          <w:szCs w:val="20"/>
        </w:rPr>
      </w:pPr>
      <w:r w:rsidRPr="007008B8">
        <w:rPr>
          <w:rFonts w:ascii="Times New Roman" w:hAnsi="Times New Roman" w:cs="Times New Roman"/>
          <w:sz w:val="20"/>
          <w:szCs w:val="20"/>
        </w:rPr>
        <w:t xml:space="preserve">E, </w:t>
      </w:r>
    </w:p>
    <w:p w14:paraId="7A33E2AF" w14:textId="77777777" w:rsidR="00C627F1" w:rsidRPr="007008B8" w:rsidRDefault="00C627F1" w:rsidP="00C627F1">
      <w:pPr>
        <w:spacing w:line="240" w:lineRule="auto"/>
        <w:ind w:left="2268"/>
        <w:jc w:val="both"/>
        <w:rPr>
          <w:rFonts w:ascii="Times New Roman" w:hAnsi="Times New Roman" w:cs="Times New Roman"/>
          <w:sz w:val="20"/>
          <w:szCs w:val="20"/>
        </w:rPr>
      </w:pPr>
      <w:r w:rsidRPr="007008B8">
        <w:rPr>
          <w:rFonts w:ascii="Times New Roman" w:hAnsi="Times New Roman" w:cs="Times New Roman"/>
          <w:sz w:val="20"/>
          <w:szCs w:val="20"/>
        </w:rPr>
        <w:t xml:space="preserve">Um dos principais é o acesso. Acessar esse público ou para que esse público acesse o trabalho. Qual a maior qualidade do profissional? A de custar mais. Logo, como alcançar uma galera, um pessoal, um público da margem? </w:t>
      </w:r>
    </w:p>
    <w:p w14:paraId="338C3B5A" w14:textId="77777777" w:rsidR="00C627F1" w:rsidRPr="00224E29" w:rsidRDefault="00C627F1" w:rsidP="00C627F1">
      <w:pPr>
        <w:spacing w:before="24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Um dos fatores divergentes entre os participantes encontrados durante as entrevistas é de os psicólogos reconhecem e abordam os impactos do racismo estrutural na saúde mental dos seus clientes negros. B2 reconhece durante a entrevista que falar sobre o racismo estrutural é algo difícil, pois não dá para minimizar os impactos que aparecem a partir disso, sendo a ressignificação do que é trazido pelo paciente a melhor saída. Já N2 acredita ser importante que o paciente passe por um processo de conscientização, fazendo o que está ao seu alcance para que essas questões sejam discutidas dentro do consultório. </w:t>
      </w:r>
    </w:p>
    <w:p w14:paraId="25CDB534" w14:textId="27E03AD8" w:rsidR="00C627F1" w:rsidRPr="00224E29" w:rsidRDefault="00C627F1" w:rsidP="00C627F1">
      <w:pPr>
        <w:spacing w:before="240" w:after="24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4.</w:t>
      </w:r>
      <w:r w:rsidRPr="00224E29">
        <w:rPr>
          <w:rFonts w:ascii="Times New Roman" w:hAnsi="Times New Roman" w:cs="Times New Roman"/>
          <w:b/>
          <w:bCs/>
          <w:iCs/>
          <w:sz w:val="24"/>
          <w:szCs w:val="24"/>
        </w:rPr>
        <w:t>CO</w:t>
      </w:r>
      <w:r w:rsidR="0027481C">
        <w:rPr>
          <w:rFonts w:ascii="Times New Roman" w:hAnsi="Times New Roman" w:cs="Times New Roman"/>
          <w:b/>
          <w:bCs/>
          <w:iCs/>
          <w:sz w:val="24"/>
          <w:szCs w:val="24"/>
        </w:rPr>
        <w:t>NSIDERAÇÕES FINAIS</w:t>
      </w:r>
      <w:r w:rsidRPr="00224E29">
        <w:rPr>
          <w:rFonts w:ascii="Times New Roman" w:hAnsi="Times New Roman" w:cs="Times New Roman"/>
          <w:b/>
          <w:bCs/>
          <w:iCs/>
          <w:sz w:val="24"/>
          <w:szCs w:val="24"/>
        </w:rPr>
        <w:t xml:space="preserve"> </w:t>
      </w:r>
    </w:p>
    <w:p w14:paraId="5FAD46A2"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O presente estudo teve como objetivo pesquisar sobre a vivência clínica do psicólogo diante do atendimento da população negra, com ênfase no abismo entre o lugar de fala e escuta profissional. Os resultados indicam que, de maneira geral, a população negra é a que menos têm acesso ao tratamento psicológico por uma série de determinantes sociais, culturais e estruturais da sociedade. Corroborando com estudos de Souza (1983) e Fanon (1983), os resultados encontrados identificam as possíveis influências diretas que produzem a subjetividade do sujeito na clínica, garantindo a escuta adequada para as singularidades.</w:t>
      </w:r>
    </w:p>
    <w:p w14:paraId="157B9E47"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 xml:space="preserve">As divergências encontradas durante a pesquisa podem ser atribuídas às diferenças nas metodologias utilizadas durante a coleta de dados e ao contexto em que a pesquisa foi realizada, podendo ter influenciado no desempenho dos participantes. Dessa forma, foi alcançado o objetivo geral de identificar em que medida os profissionais de psicologia estão preparados na formação prática, uma vez que a falta de letramento racial e prática profissional mostraram-se preponderantes. </w:t>
      </w:r>
    </w:p>
    <w:p w14:paraId="4273D313" w14:textId="77777777" w:rsidR="00C627F1" w:rsidRPr="00224E29"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Além disso, o objetivo específico de identificar se existe um perfil de profissional que esteja mais preparado para lidar com o racismo que aparece na clínica, não foi completamente respondido, dado que este item é subjetivo dentro da compreensão de cada psicólogo e depende diretamente da formação profissional de cada um. O objetivo específico consiste em identificar se a falta de letramento racial influencia em um manejo adequado se confirma durante a pesquisa, visto que grande parte dos psicólogos enfatizam a falta de apoio da literatura para aperfeiçoamento da prática profissional.</w:t>
      </w:r>
    </w:p>
    <w:p w14:paraId="70754C1A" w14:textId="77777777" w:rsidR="00C627F1" w:rsidRDefault="00C627F1" w:rsidP="00C627F1">
      <w:pPr>
        <w:spacing w:after="0" w:line="360" w:lineRule="auto"/>
        <w:ind w:firstLine="851"/>
        <w:jc w:val="both"/>
        <w:rPr>
          <w:rFonts w:ascii="Times New Roman" w:hAnsi="Times New Roman" w:cs="Times New Roman"/>
          <w:sz w:val="24"/>
          <w:szCs w:val="24"/>
        </w:rPr>
      </w:pPr>
      <w:r w:rsidRPr="00224E29">
        <w:rPr>
          <w:rFonts w:ascii="Times New Roman" w:hAnsi="Times New Roman" w:cs="Times New Roman"/>
          <w:sz w:val="24"/>
          <w:szCs w:val="24"/>
        </w:rPr>
        <w:t>Em suma, este estudo contribui para a compreensão do entendimento do profissional de psicologia sobre o racismo manifestado em questões de sofrimento psíquico, ao mesmo tempo em que destaca a necessidade de mais investigações sobre a eficácia da formação acadêmica destes profissionais. A pesquisa proporciona novas perspectivas para o aprimoramento da prática profissional do psicólogo e de uma escuta adequada durante o atendimento psicológico.</w:t>
      </w:r>
    </w:p>
    <w:p w14:paraId="5EF5773B" w14:textId="77777777" w:rsidR="00C627F1" w:rsidRDefault="00C627F1" w:rsidP="00C627F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 ciência psicológica, seja ela a de base formativa nos cursos de graduação, assim como nos programas de pós-graduação, precisam estarem atentos ao passado e ao cotidiano. Compreendendo que uma sociedade que vive na negação, acaba não permitindo que novas linguagens e outros olhares “psis” sejam criados. Só quando a educação for libertadora, quando reconhecermos a necessidade de reconfigurar as estruturas de poder (ampliando-as e diversificando-as) é que as múltiplas identidades marginalizadas (e aqui referimo-nos a uma delas: a negra), poderá reconfigurar a noção de conhecimento, e outros saberes poderão ser produzidos e experimentados (KILOMBA, 2019).</w:t>
      </w:r>
    </w:p>
    <w:p w14:paraId="3B757039" w14:textId="77777777" w:rsidR="00207E27" w:rsidRDefault="00207E27" w:rsidP="00207E27">
      <w:pPr>
        <w:spacing w:after="0" w:line="240" w:lineRule="auto"/>
        <w:rPr>
          <w:rFonts w:ascii="Times New Roman" w:hAnsi="Times New Roman" w:cs="Times New Roman"/>
          <w:b/>
          <w:bCs/>
          <w:sz w:val="24"/>
          <w:szCs w:val="24"/>
        </w:rPr>
      </w:pPr>
    </w:p>
    <w:p w14:paraId="09EC00F5" w14:textId="34EE77C4" w:rsidR="00C627F1" w:rsidRDefault="00C627F1" w:rsidP="00C627F1">
      <w:pPr>
        <w:rPr>
          <w:rFonts w:ascii="Times New Roman" w:hAnsi="Times New Roman" w:cs="Times New Roman"/>
          <w:b/>
          <w:bCs/>
          <w:sz w:val="24"/>
          <w:szCs w:val="24"/>
        </w:rPr>
      </w:pPr>
      <w:r w:rsidRPr="00224E29">
        <w:rPr>
          <w:rFonts w:ascii="Times New Roman" w:hAnsi="Times New Roman" w:cs="Times New Roman"/>
          <w:b/>
          <w:bCs/>
          <w:sz w:val="24"/>
          <w:szCs w:val="24"/>
        </w:rPr>
        <w:t>REFERÊNCIAS</w:t>
      </w:r>
    </w:p>
    <w:p w14:paraId="260F52F6" w14:textId="77777777" w:rsidR="00207E27" w:rsidRPr="00224E29" w:rsidRDefault="00207E27" w:rsidP="00207E27">
      <w:pPr>
        <w:spacing w:after="0" w:line="360" w:lineRule="auto"/>
        <w:rPr>
          <w:rFonts w:ascii="Times New Roman" w:hAnsi="Times New Roman" w:cs="Times New Roman"/>
          <w:b/>
          <w:bCs/>
          <w:sz w:val="24"/>
          <w:szCs w:val="24"/>
        </w:rPr>
      </w:pPr>
    </w:p>
    <w:p w14:paraId="3DED6768"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BARDIN, Laurence. </w:t>
      </w:r>
      <w:r w:rsidRPr="00251B78">
        <w:rPr>
          <w:rFonts w:ascii="Times New Roman" w:hAnsi="Times New Roman" w:cs="Times New Roman"/>
          <w:i/>
          <w:iCs/>
          <w:sz w:val="24"/>
          <w:szCs w:val="24"/>
        </w:rPr>
        <w:t>Análise de conteúdo</w:t>
      </w:r>
      <w:r w:rsidRPr="007008B8">
        <w:rPr>
          <w:rFonts w:ascii="Times New Roman" w:hAnsi="Times New Roman" w:cs="Times New Roman"/>
          <w:sz w:val="24"/>
          <w:szCs w:val="24"/>
        </w:rPr>
        <w:t>. São Paulo: Edições 70, 2017.</w:t>
      </w:r>
    </w:p>
    <w:p w14:paraId="57A4E7A8" w14:textId="77777777" w:rsidR="00C627F1" w:rsidRPr="007008B8" w:rsidRDefault="00C627F1" w:rsidP="00700FEF">
      <w:pPr>
        <w:pStyle w:val="PargrafodaLista"/>
        <w:spacing w:after="0" w:line="240" w:lineRule="auto"/>
        <w:ind w:left="0"/>
        <w:jc w:val="both"/>
        <w:rPr>
          <w:rFonts w:ascii="Times New Roman" w:hAnsi="Times New Roman" w:cs="Times New Roman"/>
          <w:sz w:val="24"/>
          <w:szCs w:val="24"/>
        </w:rPr>
      </w:pPr>
    </w:p>
    <w:p w14:paraId="6C5800EE"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BARROS, Letícia Maria Renault de; BARROS, Maria Elizabeth Barros de</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O problema da análise em pesquisa cartográfica</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Fractal: Revista de Psicologia, v. 25, n. 2, p. 373-390, 2013.</w:t>
      </w:r>
    </w:p>
    <w:p w14:paraId="07288FB1" w14:textId="77777777" w:rsidR="00C627F1" w:rsidRPr="007008B8" w:rsidRDefault="00C627F1" w:rsidP="00700FEF">
      <w:pPr>
        <w:pStyle w:val="PargrafodaLista"/>
        <w:spacing w:after="0" w:line="240" w:lineRule="auto"/>
        <w:ind w:left="0"/>
        <w:jc w:val="both"/>
        <w:rPr>
          <w:rFonts w:ascii="Times New Roman" w:hAnsi="Times New Roman" w:cs="Times New Roman"/>
          <w:sz w:val="24"/>
          <w:szCs w:val="24"/>
        </w:rPr>
      </w:pPr>
    </w:p>
    <w:p w14:paraId="3A1D3C10"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BENTO, Cida. </w:t>
      </w:r>
      <w:r w:rsidRPr="00251B78">
        <w:rPr>
          <w:rFonts w:ascii="Times New Roman" w:hAnsi="Times New Roman" w:cs="Times New Roman"/>
          <w:i/>
          <w:iCs/>
          <w:sz w:val="24"/>
          <w:szCs w:val="24"/>
        </w:rPr>
        <w:t>O pacto da branquitude</w:t>
      </w:r>
      <w:r w:rsidRPr="007008B8">
        <w:rPr>
          <w:rFonts w:ascii="Times New Roman" w:hAnsi="Times New Roman" w:cs="Times New Roman"/>
          <w:sz w:val="24"/>
          <w:szCs w:val="24"/>
        </w:rPr>
        <w:t>. Companhia das letras, 2022.</w:t>
      </w:r>
    </w:p>
    <w:p w14:paraId="0E960596" w14:textId="77777777" w:rsidR="00C627F1" w:rsidRPr="007008B8" w:rsidRDefault="00C627F1" w:rsidP="00700FEF">
      <w:pPr>
        <w:pStyle w:val="PargrafodaLista"/>
        <w:spacing w:after="0" w:line="240" w:lineRule="auto"/>
        <w:ind w:left="0"/>
        <w:jc w:val="both"/>
        <w:rPr>
          <w:rFonts w:ascii="Times New Roman" w:hAnsi="Times New Roman" w:cs="Times New Roman"/>
          <w:sz w:val="24"/>
          <w:szCs w:val="24"/>
        </w:rPr>
      </w:pPr>
    </w:p>
    <w:p w14:paraId="2C6101D1"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CFP, </w:t>
      </w:r>
      <w:r w:rsidRPr="00251B78">
        <w:rPr>
          <w:rFonts w:ascii="Times New Roman" w:hAnsi="Times New Roman" w:cs="Times New Roman"/>
          <w:i/>
          <w:iCs/>
          <w:sz w:val="24"/>
          <w:szCs w:val="24"/>
        </w:rPr>
        <w:t>Código de Ética Profissional</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Conselho Federal de Psicologia. Brasília, agosto de, 2005.</w:t>
      </w:r>
    </w:p>
    <w:p w14:paraId="208F7CDA" w14:textId="77777777" w:rsidR="00C627F1" w:rsidRPr="007008B8" w:rsidRDefault="00C627F1" w:rsidP="00700FEF">
      <w:pPr>
        <w:pStyle w:val="PargrafodaLista"/>
        <w:spacing w:after="0" w:line="240" w:lineRule="auto"/>
        <w:ind w:left="0"/>
        <w:jc w:val="both"/>
        <w:rPr>
          <w:rFonts w:ascii="Times New Roman" w:hAnsi="Times New Roman" w:cs="Times New Roman"/>
          <w:sz w:val="24"/>
          <w:szCs w:val="24"/>
        </w:rPr>
      </w:pPr>
    </w:p>
    <w:p w14:paraId="3BB58D70"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DE ALMEIDA, Raquel Ayres; MALAGRIS, Lucia Emmanoel Novaes</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A prática da psicologia da saúde</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Revista da Sociedade Brasileira de Psicologia Hospitalar, v. 14, n. 2, p. 183-202, 2011.</w:t>
      </w:r>
    </w:p>
    <w:p w14:paraId="3EFFDE26" w14:textId="77777777" w:rsidR="00C627F1" w:rsidRPr="007008B8" w:rsidRDefault="00C627F1" w:rsidP="00700FEF">
      <w:pPr>
        <w:pStyle w:val="PargrafodaLista"/>
        <w:spacing w:after="0" w:line="240" w:lineRule="auto"/>
        <w:ind w:left="0"/>
        <w:jc w:val="both"/>
        <w:rPr>
          <w:rFonts w:ascii="Times New Roman" w:hAnsi="Times New Roman" w:cs="Times New Roman"/>
          <w:sz w:val="24"/>
          <w:szCs w:val="24"/>
        </w:rPr>
      </w:pPr>
    </w:p>
    <w:p w14:paraId="78FA372F"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FANON, Franz</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Pele negra, máscaras brancas</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Tradução Adriano Caldas. Rio de Janeiro: Fator, 1983.</w:t>
      </w:r>
    </w:p>
    <w:p w14:paraId="32240F0B" w14:textId="77777777" w:rsidR="00C627F1" w:rsidRPr="007008B8" w:rsidRDefault="00C627F1" w:rsidP="00700FEF">
      <w:pPr>
        <w:pStyle w:val="PargrafodaLista"/>
        <w:spacing w:after="0" w:line="240" w:lineRule="auto"/>
        <w:ind w:left="0"/>
        <w:jc w:val="both"/>
        <w:rPr>
          <w:rFonts w:ascii="Times New Roman" w:hAnsi="Times New Roman" w:cs="Times New Roman"/>
          <w:sz w:val="24"/>
          <w:szCs w:val="24"/>
        </w:rPr>
      </w:pPr>
    </w:p>
    <w:p w14:paraId="2C61F456"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FÉLIX-SILVA, Antonio Vladimir et al</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Psicologia da diferença, relações raciais e formação da (o) psicóloga (o).</w:t>
      </w:r>
      <w:r w:rsidRPr="007008B8">
        <w:rPr>
          <w:rFonts w:ascii="Times New Roman" w:hAnsi="Times New Roman" w:cs="Times New Roman"/>
          <w:sz w:val="24"/>
          <w:szCs w:val="24"/>
        </w:rPr>
        <w:t xml:space="preserve"> Psicologia: ciência e Profissão, v. 42, p. e229977, 2022.</w:t>
      </w:r>
    </w:p>
    <w:p w14:paraId="44E74AD4" w14:textId="77777777" w:rsidR="00C627F1" w:rsidRPr="007008B8" w:rsidRDefault="00C627F1" w:rsidP="00700FEF">
      <w:pPr>
        <w:pStyle w:val="PargrafodaLista"/>
        <w:spacing w:after="0" w:line="240" w:lineRule="auto"/>
        <w:ind w:left="0"/>
        <w:jc w:val="both"/>
        <w:rPr>
          <w:rFonts w:ascii="Times New Roman" w:hAnsi="Times New Roman" w:cs="Times New Roman"/>
          <w:sz w:val="24"/>
          <w:szCs w:val="24"/>
        </w:rPr>
      </w:pPr>
    </w:p>
    <w:p w14:paraId="782E7AB5"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GIL, Antonio Carlos. </w:t>
      </w:r>
      <w:r w:rsidRPr="00251B78">
        <w:rPr>
          <w:rFonts w:ascii="Times New Roman" w:hAnsi="Times New Roman" w:cs="Times New Roman"/>
          <w:i/>
          <w:iCs/>
          <w:sz w:val="24"/>
          <w:szCs w:val="24"/>
        </w:rPr>
        <w:t>Como elaborar projetos de pesquisa</w:t>
      </w:r>
      <w:r w:rsidRPr="00251B78">
        <w:rPr>
          <w:rFonts w:ascii="Times New Roman" w:hAnsi="Times New Roman" w:cs="Times New Roman"/>
          <w:i/>
          <w:sz w:val="24"/>
          <w:szCs w:val="24"/>
        </w:rPr>
        <w:t xml:space="preserve">. </w:t>
      </w:r>
      <w:r w:rsidRPr="007008B8">
        <w:rPr>
          <w:rFonts w:ascii="Times New Roman" w:hAnsi="Times New Roman" w:cs="Times New Roman"/>
          <w:sz w:val="24"/>
          <w:szCs w:val="24"/>
        </w:rPr>
        <w:t>2ª edição. São Paulo: Atlas, 1994.</w:t>
      </w:r>
    </w:p>
    <w:p w14:paraId="41B6A037" w14:textId="77777777" w:rsidR="005C1A92" w:rsidRPr="005C1A92" w:rsidRDefault="005C1A92" w:rsidP="00700FEF">
      <w:pPr>
        <w:pStyle w:val="PargrafodaLista"/>
        <w:spacing w:after="0" w:line="240" w:lineRule="auto"/>
        <w:ind w:left="0"/>
        <w:jc w:val="both"/>
        <w:rPr>
          <w:rFonts w:ascii="Times New Roman" w:hAnsi="Times New Roman" w:cs="Times New Roman"/>
          <w:sz w:val="24"/>
          <w:szCs w:val="24"/>
        </w:rPr>
      </w:pPr>
    </w:p>
    <w:p w14:paraId="2A266DD6"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GIL, Antônio Carlos. </w:t>
      </w:r>
      <w:r w:rsidRPr="00251B78">
        <w:rPr>
          <w:rFonts w:ascii="Times New Roman" w:hAnsi="Times New Roman" w:cs="Times New Roman"/>
          <w:i/>
          <w:iCs/>
          <w:sz w:val="24"/>
          <w:szCs w:val="24"/>
        </w:rPr>
        <w:t>Como elaborar projetos de pesquisa</w:t>
      </w:r>
      <w:r w:rsidRPr="007008B8">
        <w:rPr>
          <w:rFonts w:ascii="Times New Roman" w:hAnsi="Times New Roman" w:cs="Times New Roman"/>
          <w:sz w:val="24"/>
          <w:szCs w:val="24"/>
        </w:rPr>
        <w:t>. 4ª edição. São Paulo: Atlas, 2002</w:t>
      </w:r>
    </w:p>
    <w:p w14:paraId="1F507CCA" w14:textId="77777777" w:rsidR="00C627F1" w:rsidRDefault="00C627F1" w:rsidP="00700FEF">
      <w:pPr>
        <w:pStyle w:val="PargrafodaLista"/>
        <w:spacing w:after="0" w:line="240" w:lineRule="auto"/>
        <w:ind w:left="0"/>
        <w:jc w:val="both"/>
        <w:rPr>
          <w:rFonts w:ascii="Times New Roman" w:hAnsi="Times New Roman" w:cs="Times New Roman"/>
          <w:sz w:val="24"/>
          <w:szCs w:val="24"/>
        </w:rPr>
      </w:pPr>
    </w:p>
    <w:p w14:paraId="6DD02740"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GUATTARI, Félix. </w:t>
      </w:r>
      <w:r w:rsidRPr="00251B78">
        <w:rPr>
          <w:rFonts w:ascii="Times New Roman" w:hAnsi="Times New Roman" w:cs="Times New Roman"/>
          <w:i/>
          <w:sz w:val="24"/>
          <w:szCs w:val="24"/>
        </w:rPr>
        <w:t xml:space="preserve">Caosmose: </w:t>
      </w:r>
      <w:r w:rsidRPr="00251B78">
        <w:rPr>
          <w:rFonts w:ascii="Times New Roman" w:hAnsi="Times New Roman" w:cs="Times New Roman"/>
          <w:i/>
          <w:iCs/>
          <w:sz w:val="24"/>
          <w:szCs w:val="24"/>
        </w:rPr>
        <w:t>Um novo paradigma estético</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Rio de Janeiro: Ed, v. 34, 1992.</w:t>
      </w:r>
    </w:p>
    <w:p w14:paraId="657EA23B"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4622A57F"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KILOMBA, Grada</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Memórias da plantação:</w:t>
      </w:r>
      <w:r w:rsidRPr="00623E2A">
        <w:rPr>
          <w:rFonts w:ascii="Times New Roman" w:hAnsi="Times New Roman" w:cs="Times New Roman"/>
          <w:iCs/>
          <w:sz w:val="24"/>
          <w:szCs w:val="24"/>
        </w:rPr>
        <w:t xml:space="preserve"> episódios de racismo cotidiano</w:t>
      </w:r>
      <w:r w:rsidRPr="00623E2A">
        <w:rPr>
          <w:rFonts w:ascii="Times New Roman" w:hAnsi="Times New Roman" w:cs="Times New Roman"/>
          <w:sz w:val="24"/>
          <w:szCs w:val="24"/>
        </w:rPr>
        <w:t>.</w:t>
      </w:r>
      <w:r w:rsidRPr="007008B8">
        <w:rPr>
          <w:rFonts w:ascii="Times New Roman" w:hAnsi="Times New Roman" w:cs="Times New Roman"/>
          <w:sz w:val="24"/>
          <w:szCs w:val="24"/>
        </w:rPr>
        <w:t xml:space="preserve"> Editora Cobogó, 2019.</w:t>
      </w:r>
    </w:p>
    <w:p w14:paraId="3A33E0D7"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73455A90"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LIMA, Maria de Fátima</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Violência Epistemológica e a Produção do Conhecimento: Reflexões sobre a Pesquisa em Educação</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In: Educação e Violência. São Paulo: Editora X, 2017.]</w:t>
      </w:r>
    </w:p>
    <w:p w14:paraId="46B04AEF"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7437A024"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MAIA, Ana Cláudia Bortolozzi</w:t>
      </w:r>
      <w:r w:rsidRPr="00623E2A">
        <w:rPr>
          <w:rFonts w:ascii="Times New Roman" w:hAnsi="Times New Roman" w:cs="Times New Roman"/>
          <w:b/>
          <w:sz w:val="24"/>
          <w:szCs w:val="24"/>
        </w:rPr>
        <w:t xml:space="preserve">. </w:t>
      </w:r>
      <w:r w:rsidRPr="00251B78">
        <w:rPr>
          <w:rFonts w:ascii="Times New Roman" w:hAnsi="Times New Roman" w:cs="Times New Roman"/>
          <w:i/>
          <w:iCs/>
          <w:sz w:val="24"/>
          <w:szCs w:val="24"/>
        </w:rPr>
        <w:t>Questionário e entrevista na pesquisa qualitativa Elaboração, aplicação e análise de conteúdo</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São Paulo: Pedro e João, 2020. </w:t>
      </w:r>
    </w:p>
    <w:p w14:paraId="150785CF"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5CA50C12"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MIGNOLO, Walter (2003</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Historias locales/disenos globales</w:t>
      </w:r>
      <w:r w:rsidRPr="00623E2A">
        <w:rPr>
          <w:rFonts w:ascii="Times New Roman" w:hAnsi="Times New Roman" w:cs="Times New Roman"/>
          <w:iCs/>
          <w:sz w:val="24"/>
          <w:szCs w:val="24"/>
        </w:rPr>
        <w:t>: colonialidad, conocimientos subalternos y pensamiento fronterizo</w:t>
      </w:r>
      <w:r w:rsidRPr="00623E2A">
        <w:rPr>
          <w:rFonts w:ascii="Times New Roman" w:hAnsi="Times New Roman" w:cs="Times New Roman"/>
          <w:sz w:val="24"/>
          <w:szCs w:val="24"/>
        </w:rPr>
        <w:t xml:space="preserve">. </w:t>
      </w:r>
      <w:r w:rsidRPr="007008B8">
        <w:rPr>
          <w:rFonts w:ascii="Times New Roman" w:hAnsi="Times New Roman" w:cs="Times New Roman"/>
          <w:sz w:val="24"/>
          <w:szCs w:val="24"/>
        </w:rPr>
        <w:t>Madrid: Akal.</w:t>
      </w:r>
    </w:p>
    <w:p w14:paraId="42CCFF62"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4D6E1B35"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MIGNOLO, Walter D</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Colonialidade: o lado mais escuro da modernidade</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Revista brasileira de ciências sociais, v. 32, p. e329402, 2017.</w:t>
      </w:r>
    </w:p>
    <w:p w14:paraId="14169A78"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4230BBBF"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MINAYO, Maria Cecília de Souza; COSTA, António Pedro. </w:t>
      </w:r>
      <w:r w:rsidRPr="00251B78">
        <w:rPr>
          <w:rFonts w:ascii="Times New Roman" w:hAnsi="Times New Roman" w:cs="Times New Roman"/>
          <w:i/>
          <w:iCs/>
          <w:sz w:val="24"/>
          <w:szCs w:val="24"/>
        </w:rPr>
        <w:t>Fundamentos teóricos das técnicas de investigação qualitativa</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Revista Lusófona de Educação, n. 40, p. 11-25, 2018.</w:t>
      </w:r>
    </w:p>
    <w:p w14:paraId="629F532B"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15468F16"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PASSOS, Eduardo; BARROS, Regina Benevides. </w:t>
      </w:r>
      <w:r w:rsidRPr="00251B78">
        <w:rPr>
          <w:rFonts w:ascii="Times New Roman" w:hAnsi="Times New Roman" w:cs="Times New Roman"/>
          <w:i/>
          <w:iCs/>
          <w:sz w:val="24"/>
          <w:szCs w:val="24"/>
        </w:rPr>
        <w:t>A cartografia como método de pesquisa-intervenção</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In: PASSOS, E; KASTRUP, V; ESCÓSSIA, L. Pistas do método da cartografia: Pesquisa-intervenção e produção de subjetividade. Porto Alegre: Sulina, 2020</w:t>
      </w:r>
    </w:p>
    <w:p w14:paraId="4EEBF923"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4DC18BC1"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PEREIRA, Diogo Fagundes et al. </w:t>
      </w:r>
      <w:r w:rsidRPr="00251B78">
        <w:rPr>
          <w:rFonts w:ascii="Times New Roman" w:hAnsi="Times New Roman" w:cs="Times New Roman"/>
          <w:i/>
          <w:iCs/>
          <w:sz w:val="24"/>
          <w:szCs w:val="24"/>
        </w:rPr>
        <w:t>O pensamento decolonial na psicologia brasileira</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Conhecimento &amp; Diversidade, v. 14, n. 32, p. 181-193, 2022.</w:t>
      </w:r>
    </w:p>
    <w:p w14:paraId="151B555D"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54A699FD"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QUINTERO, Pablo; FIGUEIRA, Patrícia; ELIZALDE, Paz </w:t>
      </w:r>
      <w:r w:rsidRPr="00251B78">
        <w:rPr>
          <w:rFonts w:ascii="Times New Roman" w:hAnsi="Times New Roman" w:cs="Times New Roman"/>
          <w:sz w:val="24"/>
          <w:szCs w:val="24"/>
        </w:rPr>
        <w:t xml:space="preserve">Concha. </w:t>
      </w:r>
      <w:r w:rsidRPr="00251B78">
        <w:rPr>
          <w:rFonts w:ascii="Times New Roman" w:hAnsi="Times New Roman" w:cs="Times New Roman"/>
          <w:i/>
          <w:iCs/>
          <w:sz w:val="24"/>
          <w:szCs w:val="24"/>
        </w:rPr>
        <w:t>Uma breve história dos estudos decoloniais</w:t>
      </w:r>
      <w:r w:rsidRPr="00251B78">
        <w:rPr>
          <w:rFonts w:ascii="Times New Roman" w:hAnsi="Times New Roman" w:cs="Times New Roman"/>
          <w:sz w:val="24"/>
          <w:szCs w:val="24"/>
        </w:rPr>
        <w:t>.</w:t>
      </w:r>
      <w:r w:rsidRPr="007008B8">
        <w:rPr>
          <w:rFonts w:ascii="Times New Roman" w:hAnsi="Times New Roman" w:cs="Times New Roman"/>
          <w:sz w:val="24"/>
          <w:szCs w:val="24"/>
        </w:rPr>
        <w:t xml:space="preserve"> MASP Aftrall. Amanda Carneiro (Org.). Tradução de Sérgio Molina e Rubia Goldoni. São Paulo: Museu de Arte de São Paulo Assis Chateaubriand, p. 1-12, 2019.</w:t>
      </w:r>
    </w:p>
    <w:p w14:paraId="166E6A83"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24F8D0C6"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RIBEIRO, Djamila</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Lugar de fala</w:t>
      </w:r>
      <w:r w:rsidRPr="007008B8">
        <w:rPr>
          <w:rFonts w:ascii="Times New Roman" w:hAnsi="Times New Roman" w:cs="Times New Roman"/>
          <w:sz w:val="24"/>
          <w:szCs w:val="24"/>
        </w:rPr>
        <w:t>. Pólen Produção Editorial LTDA, 2019.</w:t>
      </w:r>
    </w:p>
    <w:p w14:paraId="786E03B5"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2F913768"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SANTOS, Neusa de S</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Tornar-se negro: as vicissitudes da identidade do negro brasileiro em ascensão social</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Rio de Janeiro: Edições Graal, 1983.</w:t>
      </w:r>
    </w:p>
    <w:p w14:paraId="710765F9" w14:textId="77777777" w:rsidR="00C627F1" w:rsidRPr="00251B78" w:rsidRDefault="00C627F1" w:rsidP="00700FEF">
      <w:pPr>
        <w:pStyle w:val="PargrafodaLista"/>
        <w:spacing w:after="0" w:line="240" w:lineRule="auto"/>
        <w:ind w:left="0"/>
        <w:jc w:val="both"/>
        <w:rPr>
          <w:rFonts w:ascii="Times New Roman" w:hAnsi="Times New Roman" w:cs="Times New Roman"/>
          <w:sz w:val="24"/>
          <w:szCs w:val="24"/>
        </w:rPr>
      </w:pPr>
    </w:p>
    <w:p w14:paraId="43DFEF74"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 xml:space="preserve">SILVA, Ana Paula. </w:t>
      </w:r>
      <w:r w:rsidRPr="00251B78">
        <w:rPr>
          <w:rFonts w:ascii="Times New Roman" w:hAnsi="Times New Roman" w:cs="Times New Roman"/>
          <w:i/>
          <w:iCs/>
          <w:sz w:val="24"/>
          <w:szCs w:val="24"/>
        </w:rPr>
        <w:t>A Escuta e a Singularidade na Clínica Psicanalítica</w:t>
      </w:r>
      <w:r w:rsidRPr="00251B78">
        <w:rPr>
          <w:rFonts w:ascii="Times New Roman" w:hAnsi="Times New Roman" w:cs="Times New Roman"/>
          <w:i/>
          <w:sz w:val="24"/>
          <w:szCs w:val="24"/>
        </w:rPr>
        <w:t>.</w:t>
      </w:r>
      <w:r w:rsidRPr="007008B8">
        <w:rPr>
          <w:rFonts w:ascii="Times New Roman" w:hAnsi="Times New Roman" w:cs="Times New Roman"/>
          <w:sz w:val="24"/>
          <w:szCs w:val="24"/>
        </w:rPr>
        <w:t xml:space="preserve"> Psicologia &amp; Sociedade, v. 30, n. 3, p. 490-501, 2018.</w:t>
      </w:r>
    </w:p>
    <w:p w14:paraId="00F2017F" w14:textId="77777777" w:rsidR="00C627F1" w:rsidRDefault="00C627F1" w:rsidP="00700FEF">
      <w:pPr>
        <w:pStyle w:val="PargrafodaLista"/>
        <w:spacing w:after="0" w:line="240" w:lineRule="auto"/>
        <w:ind w:left="0"/>
        <w:jc w:val="both"/>
        <w:rPr>
          <w:rFonts w:ascii="Times New Roman" w:hAnsi="Times New Roman" w:cs="Times New Roman"/>
          <w:sz w:val="24"/>
          <w:szCs w:val="24"/>
        </w:rPr>
      </w:pPr>
    </w:p>
    <w:p w14:paraId="5F301C22"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SILVA, Maria da Penha</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A interseccionalidade e suas implicações na análise das desigualdades sociais</w:t>
      </w:r>
      <w:r w:rsidRPr="00251B78">
        <w:rPr>
          <w:rFonts w:ascii="Times New Roman" w:hAnsi="Times New Roman" w:cs="Times New Roman"/>
          <w:i/>
          <w:sz w:val="24"/>
          <w:szCs w:val="24"/>
        </w:rPr>
        <w:t xml:space="preserve">. </w:t>
      </w:r>
      <w:r w:rsidRPr="007008B8">
        <w:rPr>
          <w:rFonts w:ascii="Times New Roman" w:hAnsi="Times New Roman" w:cs="Times New Roman"/>
          <w:iCs/>
          <w:sz w:val="24"/>
          <w:szCs w:val="24"/>
        </w:rPr>
        <w:t>Revista Brasileira de Sociologia</w:t>
      </w:r>
      <w:r w:rsidRPr="007008B8">
        <w:rPr>
          <w:rFonts w:ascii="Times New Roman" w:hAnsi="Times New Roman" w:cs="Times New Roman"/>
          <w:sz w:val="24"/>
          <w:szCs w:val="24"/>
        </w:rPr>
        <w:t>, v. 12, n. 2, p. 45-62, abr. 2022.</w:t>
      </w:r>
    </w:p>
    <w:p w14:paraId="53B42AA1"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41D44578" w14:textId="77777777" w:rsidR="00C627F1" w:rsidRDefault="00C627F1" w:rsidP="00700FEF">
      <w:pPr>
        <w:pStyle w:val="PargrafodaLista"/>
        <w:numPr>
          <w:ilvl w:val="0"/>
          <w:numId w:val="19"/>
        </w:numPr>
        <w:spacing w:after="0" w:line="240" w:lineRule="auto"/>
        <w:ind w:left="0" w:firstLine="0"/>
        <w:jc w:val="both"/>
        <w:rPr>
          <w:rFonts w:ascii="Times New Roman" w:hAnsi="Times New Roman" w:cs="Times New Roman"/>
          <w:sz w:val="24"/>
          <w:szCs w:val="24"/>
        </w:rPr>
      </w:pPr>
      <w:r w:rsidRPr="007008B8">
        <w:rPr>
          <w:rFonts w:ascii="Times New Roman" w:hAnsi="Times New Roman" w:cs="Times New Roman"/>
          <w:sz w:val="24"/>
          <w:szCs w:val="24"/>
        </w:rPr>
        <w:t>SOUZA, Neusa Santos. 1983</w:t>
      </w:r>
      <w:r w:rsidRPr="00251B78">
        <w:rPr>
          <w:rFonts w:ascii="Times New Roman" w:hAnsi="Times New Roman" w:cs="Times New Roman"/>
          <w:i/>
          <w:sz w:val="24"/>
          <w:szCs w:val="24"/>
        </w:rPr>
        <w:t xml:space="preserve">. </w:t>
      </w:r>
      <w:r w:rsidRPr="00251B78">
        <w:rPr>
          <w:rFonts w:ascii="Times New Roman" w:hAnsi="Times New Roman" w:cs="Times New Roman"/>
          <w:i/>
          <w:iCs/>
          <w:sz w:val="24"/>
          <w:szCs w:val="24"/>
        </w:rPr>
        <w:t>Tornar-se negro: Ou as vicissitudes da identidade do negro brasileiro em ascensão social</w:t>
      </w:r>
      <w:r w:rsidRPr="00623E2A">
        <w:rPr>
          <w:rFonts w:ascii="Times New Roman" w:hAnsi="Times New Roman" w:cs="Times New Roman"/>
          <w:sz w:val="24"/>
          <w:szCs w:val="24"/>
        </w:rPr>
        <w:t>.</w:t>
      </w:r>
      <w:r w:rsidRPr="007008B8">
        <w:rPr>
          <w:rFonts w:ascii="Times New Roman" w:hAnsi="Times New Roman" w:cs="Times New Roman"/>
          <w:sz w:val="24"/>
          <w:szCs w:val="24"/>
        </w:rPr>
        <w:t xml:space="preserve"> Rio de Janeiro: Edições Graal.</w:t>
      </w:r>
    </w:p>
    <w:p w14:paraId="0779E46A" w14:textId="77777777" w:rsidR="00C627F1" w:rsidRPr="00623E2A" w:rsidRDefault="00C627F1" w:rsidP="00700FEF">
      <w:pPr>
        <w:pStyle w:val="PargrafodaLista"/>
        <w:spacing w:after="0" w:line="240" w:lineRule="auto"/>
        <w:ind w:left="0"/>
        <w:jc w:val="both"/>
        <w:rPr>
          <w:rFonts w:ascii="Times New Roman" w:hAnsi="Times New Roman" w:cs="Times New Roman"/>
          <w:sz w:val="24"/>
          <w:szCs w:val="24"/>
        </w:rPr>
      </w:pPr>
    </w:p>
    <w:p w14:paraId="6A3C657C" w14:textId="77777777" w:rsidR="00C627F1" w:rsidRPr="007008B8" w:rsidRDefault="00C627F1" w:rsidP="00700FEF">
      <w:pPr>
        <w:pStyle w:val="PargrafodaLista"/>
        <w:numPr>
          <w:ilvl w:val="0"/>
          <w:numId w:val="19"/>
        </w:numPr>
        <w:tabs>
          <w:tab w:val="left" w:pos="851"/>
        </w:tabs>
        <w:spacing w:after="0" w:line="240" w:lineRule="auto"/>
        <w:ind w:left="0" w:firstLine="0"/>
        <w:jc w:val="both"/>
        <w:rPr>
          <w:rFonts w:ascii="Times New Roman" w:hAnsi="Times New Roman" w:cs="Times New Roman"/>
          <w:b/>
          <w:sz w:val="24"/>
          <w:szCs w:val="24"/>
        </w:rPr>
      </w:pPr>
      <w:r w:rsidRPr="007008B8">
        <w:rPr>
          <w:rFonts w:ascii="Times New Roman" w:hAnsi="Times New Roman" w:cs="Times New Roman"/>
          <w:sz w:val="24"/>
          <w:szCs w:val="24"/>
        </w:rPr>
        <w:t xml:space="preserve">VEIGA, Lucas. </w:t>
      </w:r>
      <w:r w:rsidRPr="004D7F98">
        <w:rPr>
          <w:rFonts w:ascii="Times New Roman" w:hAnsi="Times New Roman" w:cs="Times New Roman"/>
          <w:i/>
          <w:iCs/>
          <w:sz w:val="24"/>
          <w:szCs w:val="24"/>
        </w:rPr>
        <w:t>Clínica do impossível: Linhas de fuga e de cura</w:t>
      </w:r>
      <w:r w:rsidRPr="004D7F98">
        <w:rPr>
          <w:rFonts w:ascii="Times New Roman" w:hAnsi="Times New Roman" w:cs="Times New Roman"/>
          <w:i/>
          <w:sz w:val="24"/>
          <w:szCs w:val="24"/>
        </w:rPr>
        <w:t>.</w:t>
      </w:r>
      <w:r w:rsidRPr="007008B8">
        <w:rPr>
          <w:rFonts w:ascii="Times New Roman" w:hAnsi="Times New Roman" w:cs="Times New Roman"/>
          <w:sz w:val="24"/>
          <w:szCs w:val="24"/>
        </w:rPr>
        <w:t xml:space="preserve"> Telha, 2022.</w:t>
      </w:r>
    </w:p>
    <w:p w14:paraId="59A2CBEE" w14:textId="77777777" w:rsidR="00C627F1" w:rsidRDefault="00C627F1" w:rsidP="00700FEF">
      <w:pPr>
        <w:pStyle w:val="Ttulo1"/>
        <w:spacing w:before="0" w:line="240" w:lineRule="auto"/>
        <w:jc w:val="both"/>
        <w:rPr>
          <w:rFonts w:ascii="Times New Roman" w:hAnsi="Times New Roman" w:cs="Times New Roman"/>
          <w:b/>
          <w:color w:val="auto"/>
          <w:sz w:val="24"/>
          <w:szCs w:val="24"/>
        </w:rPr>
      </w:pPr>
    </w:p>
    <w:p w14:paraId="39398205" w14:textId="77777777" w:rsidR="00C627F1" w:rsidRDefault="00C627F1" w:rsidP="00700FEF">
      <w:pPr>
        <w:pStyle w:val="Ttulo1"/>
        <w:spacing w:before="0" w:line="240" w:lineRule="auto"/>
        <w:jc w:val="both"/>
        <w:rPr>
          <w:rFonts w:ascii="Times New Roman" w:hAnsi="Times New Roman" w:cs="Times New Roman"/>
          <w:b/>
          <w:color w:val="auto"/>
          <w:sz w:val="24"/>
          <w:szCs w:val="24"/>
        </w:rPr>
      </w:pPr>
    </w:p>
    <w:p w14:paraId="529D8058" w14:textId="77777777" w:rsidR="00C627F1" w:rsidRDefault="00C627F1" w:rsidP="00700FEF">
      <w:pPr>
        <w:pStyle w:val="Ttulo1"/>
        <w:spacing w:before="0" w:line="240" w:lineRule="auto"/>
        <w:jc w:val="both"/>
        <w:rPr>
          <w:rFonts w:ascii="Times New Roman" w:hAnsi="Times New Roman" w:cs="Times New Roman"/>
          <w:b/>
          <w:color w:val="auto"/>
          <w:sz w:val="24"/>
          <w:szCs w:val="24"/>
        </w:rPr>
      </w:pPr>
    </w:p>
    <w:p w14:paraId="76CD141C" w14:textId="77777777" w:rsidR="00C627F1" w:rsidRDefault="00C627F1" w:rsidP="00700FEF">
      <w:pPr>
        <w:pStyle w:val="Ttulo1"/>
        <w:spacing w:before="0" w:line="240" w:lineRule="auto"/>
        <w:jc w:val="center"/>
        <w:rPr>
          <w:rFonts w:ascii="Times New Roman" w:hAnsi="Times New Roman" w:cs="Times New Roman"/>
          <w:b/>
          <w:color w:val="auto"/>
          <w:sz w:val="24"/>
          <w:szCs w:val="24"/>
        </w:rPr>
      </w:pPr>
    </w:p>
    <w:p w14:paraId="15F430A1" w14:textId="77777777" w:rsidR="00C627F1" w:rsidRDefault="00C627F1" w:rsidP="00700FEF">
      <w:pPr>
        <w:pStyle w:val="Ttulo1"/>
        <w:spacing w:before="0" w:line="240" w:lineRule="auto"/>
        <w:jc w:val="center"/>
        <w:rPr>
          <w:rFonts w:ascii="Times New Roman" w:hAnsi="Times New Roman" w:cs="Times New Roman"/>
          <w:b/>
          <w:color w:val="auto"/>
          <w:sz w:val="24"/>
          <w:szCs w:val="24"/>
        </w:rPr>
      </w:pPr>
    </w:p>
    <w:p w14:paraId="43954653"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32C140F5"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199E8D47"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4AD1B90E"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40E6967F"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4D2A892A"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7D5E0F21"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2B5ADB95"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32D765D4"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61F15F7C"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1C0CF233"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18D95799"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2544D4E7"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44368EF4"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19F5DACC"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7235AE97" w14:textId="77777777" w:rsidR="00C627F1" w:rsidRDefault="00C627F1" w:rsidP="004C696D">
      <w:pPr>
        <w:pStyle w:val="Ttulo1"/>
        <w:spacing w:before="0" w:line="240" w:lineRule="auto"/>
        <w:jc w:val="center"/>
        <w:rPr>
          <w:rFonts w:ascii="Times New Roman" w:hAnsi="Times New Roman" w:cs="Times New Roman"/>
          <w:b/>
          <w:color w:val="auto"/>
          <w:sz w:val="24"/>
          <w:szCs w:val="24"/>
        </w:rPr>
      </w:pPr>
    </w:p>
    <w:p w14:paraId="5E154821" w14:textId="44494F1F" w:rsidR="00C627F1" w:rsidRDefault="00C627F1" w:rsidP="004C696D">
      <w:pPr>
        <w:pStyle w:val="Ttulo1"/>
        <w:spacing w:before="0" w:line="240" w:lineRule="auto"/>
        <w:jc w:val="center"/>
        <w:rPr>
          <w:rFonts w:ascii="Times New Roman" w:hAnsi="Times New Roman" w:cs="Times New Roman"/>
          <w:b/>
          <w:color w:val="auto"/>
          <w:sz w:val="24"/>
          <w:szCs w:val="24"/>
        </w:rPr>
      </w:pPr>
    </w:p>
    <w:p w14:paraId="7554B2A7" w14:textId="77777777" w:rsidR="002C6A41" w:rsidRDefault="002C6A41" w:rsidP="002C6A41">
      <w:pPr>
        <w:rPr>
          <w:lang w:val="pt-PT"/>
        </w:rPr>
      </w:pPr>
    </w:p>
    <w:p w14:paraId="0EBE4FF0" w14:textId="77777777" w:rsidR="002C6A41" w:rsidRPr="002C6A41" w:rsidRDefault="002C6A41" w:rsidP="002C6A41">
      <w:pPr>
        <w:rPr>
          <w:lang w:val="pt-PT"/>
        </w:rPr>
      </w:pPr>
    </w:p>
    <w:p w14:paraId="66C484F5" w14:textId="77777777" w:rsidR="005C1A92" w:rsidRDefault="005C1A92" w:rsidP="005C1A92">
      <w:pPr>
        <w:rPr>
          <w:lang w:val="pt-PT"/>
        </w:rPr>
      </w:pPr>
    </w:p>
    <w:p w14:paraId="1DAF31B5" w14:textId="77777777" w:rsidR="005C1A92" w:rsidRDefault="005C1A92" w:rsidP="005C1A92">
      <w:pPr>
        <w:rPr>
          <w:lang w:val="pt-PT"/>
        </w:rPr>
      </w:pPr>
    </w:p>
    <w:p w14:paraId="1723C2E7" w14:textId="77777777" w:rsidR="005C1A92" w:rsidRDefault="005C1A92" w:rsidP="005C1A92">
      <w:pPr>
        <w:rPr>
          <w:lang w:val="pt-PT"/>
        </w:rPr>
      </w:pPr>
    </w:p>
    <w:p w14:paraId="4FA87E7C" w14:textId="77777777" w:rsidR="005C1A92" w:rsidRDefault="005C1A92" w:rsidP="005C1A92">
      <w:pPr>
        <w:rPr>
          <w:lang w:val="pt-PT"/>
        </w:rPr>
      </w:pPr>
    </w:p>
    <w:p w14:paraId="4B6D40DC" w14:textId="77777777" w:rsidR="00C627F1" w:rsidRPr="00C627F1" w:rsidRDefault="00C627F1" w:rsidP="00C627F1">
      <w:pPr>
        <w:rPr>
          <w:lang w:val="pt-PT"/>
        </w:rPr>
      </w:pPr>
    </w:p>
    <w:p w14:paraId="7E39C312" w14:textId="1077C6E0" w:rsidR="004C696D" w:rsidRPr="009E3A67" w:rsidRDefault="004C696D" w:rsidP="004C696D">
      <w:pPr>
        <w:pStyle w:val="Ttulo1"/>
        <w:spacing w:before="0" w:line="240" w:lineRule="auto"/>
        <w:jc w:val="center"/>
        <w:rPr>
          <w:rFonts w:ascii="Times New Roman" w:hAnsi="Times New Roman" w:cs="Times New Roman"/>
          <w:b/>
          <w:color w:val="auto"/>
          <w:sz w:val="24"/>
          <w:szCs w:val="24"/>
        </w:rPr>
      </w:pPr>
      <w:r w:rsidRPr="009E3A67">
        <w:rPr>
          <w:rFonts w:ascii="Times New Roman" w:hAnsi="Times New Roman" w:cs="Times New Roman"/>
          <w:b/>
          <w:color w:val="auto"/>
          <w:sz w:val="24"/>
          <w:szCs w:val="24"/>
        </w:rPr>
        <w:t>ÁFRICA ENTRE INDEPENDÊNCIA E DEPENDÊNCIA: NEOCOLONIALISMO E O IMPACTO GEOPOLÍTICO DOS DISCURSOS DAS LIDERANÇAS INSURGENTES AFRICANAS NO SÉCULO XXI</w:t>
      </w:r>
    </w:p>
    <w:p w14:paraId="08FD8FF7" w14:textId="77777777" w:rsidR="004C696D" w:rsidRPr="009E3A67" w:rsidRDefault="004C696D" w:rsidP="004C696D">
      <w:pPr>
        <w:rPr>
          <w:rFonts w:ascii="Times New Roman" w:hAnsi="Times New Roman" w:cs="Times New Roman"/>
        </w:rPr>
      </w:pPr>
    </w:p>
    <w:p w14:paraId="5E9ED3D4" w14:textId="72354428" w:rsidR="00DA15ED" w:rsidRPr="009E3A67" w:rsidRDefault="00DA15ED" w:rsidP="00DA15ED">
      <w:pPr>
        <w:spacing w:line="240" w:lineRule="auto"/>
        <w:jc w:val="center"/>
        <w:rPr>
          <w:rFonts w:ascii="Times New Roman" w:hAnsi="Times New Roman" w:cs="Times New Roman"/>
          <w:b/>
          <w:sz w:val="24"/>
          <w:szCs w:val="24"/>
        </w:rPr>
      </w:pPr>
      <w:r w:rsidRPr="009E3A67">
        <w:rPr>
          <w:rFonts w:ascii="Times New Roman" w:hAnsi="Times New Roman" w:cs="Times New Roman"/>
          <w:b/>
          <w:sz w:val="24"/>
          <w:szCs w:val="24"/>
        </w:rPr>
        <w:t>AFRICA BETWEEN INDEPENDENCE AND DEPENDENCE: NEOCOLONIALISM AND THE GEOPOLITICAL IMPACT OF THE DISCOURSES OF AFRICAN INSURGENT LEADERS IN THE 21ST CENTURY.</w:t>
      </w:r>
    </w:p>
    <w:p w14:paraId="0E31500C"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14D8A2A5" w14:textId="77777777" w:rsidR="00DA15ED" w:rsidRPr="009E3A67" w:rsidRDefault="00DA15ED" w:rsidP="00DA15ED">
      <w:pPr>
        <w:jc w:val="right"/>
        <w:rPr>
          <w:rFonts w:ascii="Times New Roman" w:hAnsi="Times New Roman" w:cs="Times New Roman"/>
          <w:sz w:val="24"/>
          <w:szCs w:val="24"/>
        </w:rPr>
      </w:pPr>
      <w:r w:rsidRPr="009E3A67">
        <w:rPr>
          <w:rFonts w:ascii="Times New Roman" w:hAnsi="Times New Roman" w:cs="Times New Roman"/>
          <w:sz w:val="24"/>
          <w:szCs w:val="24"/>
        </w:rPr>
        <w:t>Abel Calombo Quijila</w:t>
      </w:r>
    </w:p>
    <w:p w14:paraId="55E455F4" w14:textId="77777777" w:rsidR="00DA15ED" w:rsidRPr="007C3DCB" w:rsidRDefault="00DA15ED" w:rsidP="003C5B38">
      <w:pPr>
        <w:pStyle w:val="Textodenotaderodap"/>
        <w:spacing w:line="360" w:lineRule="auto"/>
        <w:ind w:left="2268"/>
        <w:jc w:val="both"/>
        <w:rPr>
          <w:rFonts w:ascii="Times New Roman" w:hAnsi="Times New Roman" w:cs="Times New Roman"/>
          <w:sz w:val="24"/>
          <w:szCs w:val="24"/>
        </w:rPr>
      </w:pPr>
      <w:r w:rsidRPr="007C3DCB">
        <w:rPr>
          <w:rFonts w:ascii="Times New Roman" w:hAnsi="Times New Roman" w:cs="Times New Roman"/>
          <w:sz w:val="24"/>
          <w:szCs w:val="24"/>
        </w:rPr>
        <w:t xml:space="preserve">Doutorando no Programa de Pós-Graduação em Educação: Contextos Contemporâneos e Demandas Populares, pela Universidade Federal Rural do Rio de Janeiro (UFRRJ). Bolsista pelo CAPES (Demanda Social/PGeduc). Mestre pelo Programa de Pós-Graduação Interdisciplinar em Humanidades e bacharel em Humanidades pela Universidade da Integração Internacional da Lusofonia Afro-Brasileira (UNILAB). </w:t>
      </w:r>
      <w:hyperlink r:id="rId20" w:history="1">
        <w:r w:rsidRPr="007C3DCB">
          <w:rPr>
            <w:rStyle w:val="Hyperlink"/>
            <w:rFonts w:ascii="Times New Roman" w:hAnsi="Times New Roman" w:cs="Times New Roman"/>
            <w:sz w:val="24"/>
            <w:szCs w:val="24"/>
          </w:rPr>
          <w:t>abelcalombe@gmail.com</w:t>
        </w:r>
      </w:hyperlink>
      <w:r w:rsidRPr="007C3DCB">
        <w:rPr>
          <w:rFonts w:ascii="Times New Roman" w:hAnsi="Times New Roman" w:cs="Times New Roman"/>
          <w:sz w:val="24"/>
          <w:szCs w:val="24"/>
        </w:rPr>
        <w:t xml:space="preserve"> </w:t>
      </w:r>
    </w:p>
    <w:p w14:paraId="33C24C74" w14:textId="77777777" w:rsidR="00DA15ED" w:rsidRPr="009E3A67" w:rsidRDefault="00DA15ED" w:rsidP="00DA15ED">
      <w:pPr>
        <w:spacing w:after="0" w:line="360" w:lineRule="auto"/>
        <w:jc w:val="both"/>
        <w:rPr>
          <w:rFonts w:ascii="Times New Roman" w:hAnsi="Times New Roman" w:cs="Times New Roman"/>
          <w:b/>
          <w:bCs/>
          <w:sz w:val="24"/>
          <w:szCs w:val="24"/>
        </w:rPr>
      </w:pPr>
    </w:p>
    <w:p w14:paraId="3FFBDDAD"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3C740007"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4931DFA3"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195D5AEA"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2D758FA9"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12151945"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4E771B7F"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4A66B027"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608099EA"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409D865E"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76388E40"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72B61FBD"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4FEC847A"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3FA32F09"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725049A1" w14:textId="77777777" w:rsidR="00DA15ED" w:rsidRPr="009E3A67" w:rsidRDefault="00DA15ED" w:rsidP="00DA15ED">
      <w:pPr>
        <w:pStyle w:val="Ttulo1"/>
        <w:spacing w:after="240"/>
        <w:jc w:val="center"/>
        <w:rPr>
          <w:rFonts w:ascii="Times New Roman" w:hAnsi="Times New Roman" w:cs="Times New Roman"/>
          <w:b/>
          <w:color w:val="auto"/>
          <w:sz w:val="24"/>
          <w:szCs w:val="24"/>
        </w:rPr>
      </w:pPr>
      <w:r w:rsidRPr="009E3A67">
        <w:rPr>
          <w:rFonts w:ascii="Times New Roman" w:hAnsi="Times New Roman" w:cs="Times New Roman"/>
          <w:b/>
          <w:color w:val="auto"/>
          <w:sz w:val="24"/>
          <w:szCs w:val="24"/>
        </w:rPr>
        <w:t>RESUMO</w:t>
      </w:r>
    </w:p>
    <w:p w14:paraId="0D258BC5" w14:textId="17B88276" w:rsidR="00DA15ED" w:rsidRPr="009E3A67" w:rsidRDefault="00DA15ED" w:rsidP="00DA15ED">
      <w:pPr>
        <w:spacing w:after="240" w:line="240"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O texto analisa a conjuntura histórica das descolonizações e independências africanas, em articulação com a geopolítica do continente, marcada pelo neocolonialismo e pela contínua influência </w:t>
      </w:r>
      <w:r w:rsidR="001C5B7E" w:rsidRPr="009E3A67">
        <w:rPr>
          <w:rFonts w:ascii="Times New Roman" w:hAnsi="Times New Roman" w:cs="Times New Roman"/>
          <w:sz w:val="24"/>
          <w:szCs w:val="24"/>
        </w:rPr>
        <w:t>europeia</w:t>
      </w:r>
      <w:r w:rsidRPr="009E3A67">
        <w:rPr>
          <w:rFonts w:ascii="Times New Roman" w:hAnsi="Times New Roman" w:cs="Times New Roman"/>
          <w:sz w:val="24"/>
          <w:szCs w:val="24"/>
        </w:rPr>
        <w:t xml:space="preserve"> — fatores que ainda contribuem para o subdesenvolvimento da África no século XXI. Busca-se compreender como a imposição da ocidentalização facilitou a pilhagem de recursos naturais e como os assassinatos de líderes africanos insurgentes contribuíram para a fragilidade e o colapso de diversos Estados pós-coloniais. Metodologicamente, adota-se uma abordagem interdisciplinar no âmbito da pesquisa qualitativa, com base na pesquisa histórica, teoria política e em fontes digitais complementares. Identifica-se o neocolonialismo como uma forma contemporânea de dominação e manutenção do poder ocidental sobre a África pós-colonial. Nesse contexto, os desafios da descolonização — especialmente a proteção dos recursos minerais e a busca por autonomia política e econômica — exigem o engajamento não apenas de lideranças como Sonko, Faye, Goïta e Traoré, mas também da juventude africana e de sua diáspora, mobilizadas pelos ideais do panafricanismo.</w:t>
      </w:r>
    </w:p>
    <w:p w14:paraId="746FB5CB" w14:textId="77777777" w:rsidR="00DA15ED" w:rsidRPr="009E3A67" w:rsidRDefault="00DA15ED" w:rsidP="00DA15ED">
      <w:pPr>
        <w:spacing w:after="0" w:line="240" w:lineRule="auto"/>
        <w:jc w:val="both"/>
        <w:rPr>
          <w:rFonts w:ascii="Times New Roman" w:hAnsi="Times New Roman" w:cs="Times New Roman"/>
          <w:sz w:val="24"/>
          <w:szCs w:val="24"/>
        </w:rPr>
      </w:pPr>
    </w:p>
    <w:p w14:paraId="7C9E138B" w14:textId="77777777" w:rsidR="00DA15ED" w:rsidRPr="009E3A67" w:rsidRDefault="00DA15ED" w:rsidP="00DA15ED">
      <w:pPr>
        <w:spacing w:line="240" w:lineRule="auto"/>
        <w:jc w:val="both"/>
        <w:rPr>
          <w:rFonts w:ascii="Times New Roman" w:hAnsi="Times New Roman" w:cs="Times New Roman"/>
          <w:b/>
          <w:sz w:val="24"/>
          <w:szCs w:val="24"/>
        </w:rPr>
      </w:pPr>
      <w:r w:rsidRPr="009E3A67">
        <w:rPr>
          <w:rFonts w:ascii="Times New Roman" w:hAnsi="Times New Roman" w:cs="Times New Roman"/>
          <w:b/>
          <w:sz w:val="24"/>
          <w:szCs w:val="24"/>
        </w:rPr>
        <w:t>PALAVRAS CHAVES</w:t>
      </w:r>
    </w:p>
    <w:p w14:paraId="5760C3CA" w14:textId="77777777" w:rsidR="00DA15ED" w:rsidRPr="009E3A67" w:rsidRDefault="00DA15ED" w:rsidP="00DA15ED">
      <w:pPr>
        <w:spacing w:line="240" w:lineRule="auto"/>
        <w:jc w:val="both"/>
        <w:rPr>
          <w:rFonts w:ascii="Times New Roman" w:hAnsi="Times New Roman" w:cs="Times New Roman"/>
          <w:sz w:val="24"/>
          <w:szCs w:val="24"/>
        </w:rPr>
      </w:pPr>
      <w:r w:rsidRPr="009E3A67">
        <w:rPr>
          <w:rFonts w:ascii="Times New Roman" w:hAnsi="Times New Roman" w:cs="Times New Roman"/>
          <w:sz w:val="24"/>
          <w:szCs w:val="24"/>
        </w:rPr>
        <w:t>África; Neocolonialismo; Subdesenvolvimento; Lideranças africanas; Futuro.</w:t>
      </w:r>
    </w:p>
    <w:p w14:paraId="364405CF" w14:textId="77777777" w:rsidR="00DA15ED" w:rsidRPr="009E3A67" w:rsidRDefault="00DA15ED" w:rsidP="00DA15ED">
      <w:pPr>
        <w:rPr>
          <w:rFonts w:ascii="Times New Roman" w:hAnsi="Times New Roman" w:cs="Times New Roman"/>
          <w:sz w:val="24"/>
          <w:szCs w:val="24"/>
        </w:rPr>
      </w:pPr>
    </w:p>
    <w:p w14:paraId="6A9F9F7A" w14:textId="77777777" w:rsidR="00DA15ED" w:rsidRPr="009E3A67" w:rsidRDefault="00DA15ED" w:rsidP="00DA15ED">
      <w:pPr>
        <w:pStyle w:val="Ttulo1"/>
        <w:spacing w:after="240"/>
        <w:jc w:val="center"/>
        <w:rPr>
          <w:rFonts w:ascii="Times New Roman" w:hAnsi="Times New Roman" w:cs="Times New Roman"/>
          <w:b/>
          <w:color w:val="auto"/>
          <w:sz w:val="24"/>
          <w:szCs w:val="24"/>
          <w:lang w:val="en-GB"/>
        </w:rPr>
      </w:pPr>
      <w:r w:rsidRPr="009E3A67">
        <w:rPr>
          <w:rFonts w:ascii="Times New Roman" w:hAnsi="Times New Roman" w:cs="Times New Roman"/>
          <w:b/>
          <w:color w:val="auto"/>
          <w:sz w:val="24"/>
          <w:szCs w:val="24"/>
          <w:lang w:val="en-GB"/>
        </w:rPr>
        <w:t>ABSTRACT</w:t>
      </w:r>
    </w:p>
    <w:p w14:paraId="08B5FDE4" w14:textId="77777777" w:rsidR="00DA15ED" w:rsidRPr="009E3A67" w:rsidRDefault="00DA15ED" w:rsidP="00DA15ED">
      <w:pPr>
        <w:spacing w:after="240" w:line="240" w:lineRule="auto"/>
        <w:jc w:val="both"/>
        <w:rPr>
          <w:rFonts w:ascii="Times New Roman" w:hAnsi="Times New Roman" w:cs="Times New Roman"/>
          <w:sz w:val="24"/>
          <w:szCs w:val="24"/>
          <w:lang w:val="en-GB"/>
        </w:rPr>
      </w:pPr>
      <w:r w:rsidRPr="009E3A67">
        <w:rPr>
          <w:rFonts w:ascii="Times New Roman" w:hAnsi="Times New Roman" w:cs="Times New Roman"/>
          <w:sz w:val="24"/>
          <w:szCs w:val="24"/>
          <w:lang w:val="en-GB"/>
        </w:rPr>
        <w:t>The text analyzes the historical context of African decolonization and independence, in conjunction with the continent's geopolitics, marked by neocolonialism and continued European influence — factors that still contribute to Africa's underdevelopment in the 21st century. The text seeks to understand how the imposition of Westernization facilitated the plundering of natural resources and how the assassinations of insurgent African leaders contributed to the fragility and collapse of several post-colonial states. Methodologically, an interdisciplinary approach is adopted within the scope of qualitative research, based on historical research, political theory, and complementary digital sources. Neocolonialism is identified as a contemporary form of domination and maintenance of Western power over post-colonial Africa. In this context, the challenges of decolonization — especially the protection of mineral resources and the search for political and economic autonomy — require the engagement not only of leaders such as Sonko, Faye, Goïta and Traoré, but also of African youth and their diaspora, mobilized by the ideals of Pan-Africanism.</w:t>
      </w:r>
    </w:p>
    <w:p w14:paraId="48D9BCE3" w14:textId="77777777" w:rsidR="00DA15ED" w:rsidRPr="009E3A67" w:rsidRDefault="00DA15ED" w:rsidP="00DA15ED">
      <w:pPr>
        <w:spacing w:after="0"/>
        <w:jc w:val="both"/>
        <w:rPr>
          <w:rFonts w:ascii="Times New Roman" w:hAnsi="Times New Roman" w:cs="Times New Roman"/>
          <w:sz w:val="24"/>
          <w:szCs w:val="24"/>
          <w:lang w:val="en-GB"/>
        </w:rPr>
      </w:pPr>
    </w:p>
    <w:p w14:paraId="64303EFB" w14:textId="77777777" w:rsidR="00DA15ED" w:rsidRPr="009E3A67" w:rsidRDefault="00DA15ED" w:rsidP="00DA15ED">
      <w:pPr>
        <w:jc w:val="both"/>
        <w:rPr>
          <w:rFonts w:ascii="Times New Roman" w:hAnsi="Times New Roman" w:cs="Times New Roman"/>
          <w:b/>
          <w:sz w:val="24"/>
          <w:szCs w:val="24"/>
          <w:lang w:val="en-GB"/>
        </w:rPr>
      </w:pPr>
      <w:r w:rsidRPr="009E3A67">
        <w:rPr>
          <w:rFonts w:ascii="Times New Roman" w:hAnsi="Times New Roman" w:cs="Times New Roman"/>
          <w:b/>
          <w:sz w:val="24"/>
          <w:szCs w:val="24"/>
          <w:lang w:val="en-GB"/>
        </w:rPr>
        <w:t>KEYWORDS</w:t>
      </w:r>
    </w:p>
    <w:p w14:paraId="29ED2051" w14:textId="77777777" w:rsidR="00DA15ED" w:rsidRPr="009E3A67" w:rsidRDefault="00DA15ED" w:rsidP="00DA15ED">
      <w:pPr>
        <w:jc w:val="both"/>
        <w:rPr>
          <w:rFonts w:ascii="Times New Roman" w:hAnsi="Times New Roman" w:cs="Times New Roman"/>
          <w:sz w:val="24"/>
          <w:szCs w:val="24"/>
          <w:lang w:val="en-GB"/>
        </w:rPr>
      </w:pPr>
      <w:r w:rsidRPr="009E3A67">
        <w:rPr>
          <w:rFonts w:ascii="Times New Roman" w:hAnsi="Times New Roman" w:cs="Times New Roman"/>
          <w:sz w:val="24"/>
          <w:szCs w:val="24"/>
          <w:lang w:val="en-GB"/>
        </w:rPr>
        <w:t>Africa; Neocolonialism; Underdevelopment; African leaders; Future.</w:t>
      </w:r>
    </w:p>
    <w:p w14:paraId="08FD83F1" w14:textId="77777777" w:rsidR="00DA15ED" w:rsidRPr="009E3A67" w:rsidRDefault="00DA15ED" w:rsidP="00DA15ED">
      <w:pPr>
        <w:spacing w:after="0"/>
        <w:jc w:val="both"/>
        <w:rPr>
          <w:rFonts w:ascii="Times New Roman" w:hAnsi="Times New Roman" w:cs="Times New Roman"/>
          <w:sz w:val="24"/>
          <w:szCs w:val="24"/>
          <w:lang w:val="en-GB"/>
        </w:rPr>
      </w:pPr>
    </w:p>
    <w:p w14:paraId="00BB7717"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32D46C39" w14:textId="77777777" w:rsidR="0007060A" w:rsidRPr="009E3A67" w:rsidRDefault="0007060A" w:rsidP="0007060A">
      <w:pPr>
        <w:pStyle w:val="Ttulo1"/>
        <w:spacing w:before="0" w:line="240" w:lineRule="auto"/>
        <w:jc w:val="center"/>
        <w:rPr>
          <w:rFonts w:ascii="Times New Roman" w:hAnsi="Times New Roman" w:cs="Times New Roman"/>
          <w:b/>
          <w:color w:val="auto"/>
          <w:sz w:val="24"/>
          <w:szCs w:val="24"/>
        </w:rPr>
      </w:pPr>
      <w:r w:rsidRPr="009E3A67">
        <w:rPr>
          <w:rFonts w:ascii="Times New Roman" w:hAnsi="Times New Roman" w:cs="Times New Roman"/>
          <w:b/>
          <w:color w:val="auto"/>
          <w:sz w:val="24"/>
          <w:szCs w:val="24"/>
        </w:rPr>
        <w:t>ÁFRICA ENTRE INDEPENDÊNCIA E DEPENDÊNCIA: NEOCOLONIALISMO E O IMPACTO GEOPOLÍTICO DOS DISCURSOS DAS LIDERANÇAS INSURGENTES AFRICANAS NO SÉCULO XXI</w:t>
      </w:r>
    </w:p>
    <w:p w14:paraId="1A488966" w14:textId="77777777" w:rsidR="0007060A" w:rsidRPr="009E3A67" w:rsidRDefault="0007060A" w:rsidP="00DA15ED">
      <w:pPr>
        <w:pStyle w:val="Ttulo1"/>
        <w:spacing w:before="0" w:line="360" w:lineRule="auto"/>
        <w:jc w:val="both"/>
        <w:rPr>
          <w:rFonts w:ascii="Times New Roman" w:hAnsi="Times New Roman" w:cs="Times New Roman"/>
          <w:b/>
          <w:color w:val="auto"/>
          <w:sz w:val="24"/>
          <w:szCs w:val="24"/>
        </w:rPr>
      </w:pPr>
    </w:p>
    <w:p w14:paraId="6BCBBFFE" w14:textId="7D1063FC" w:rsidR="00DA15ED" w:rsidRPr="009E3A67" w:rsidRDefault="00476063" w:rsidP="00DA15ED">
      <w:pPr>
        <w:pStyle w:val="Ttulo1"/>
        <w:spacing w:before="0" w:line="360" w:lineRule="auto"/>
        <w:jc w:val="both"/>
        <w:rPr>
          <w:rFonts w:ascii="Times New Roman" w:hAnsi="Times New Roman" w:cs="Times New Roman"/>
          <w:b/>
          <w:color w:val="auto"/>
          <w:sz w:val="24"/>
          <w:szCs w:val="24"/>
        </w:rPr>
      </w:pPr>
      <w:r w:rsidRPr="009E3A67">
        <w:rPr>
          <w:rFonts w:ascii="Times New Roman" w:hAnsi="Times New Roman" w:cs="Times New Roman"/>
          <w:b/>
          <w:color w:val="auto"/>
          <w:sz w:val="24"/>
          <w:szCs w:val="24"/>
        </w:rPr>
        <w:t xml:space="preserve">1. </w:t>
      </w:r>
      <w:r w:rsidR="00DA15ED" w:rsidRPr="009E3A67">
        <w:rPr>
          <w:rFonts w:ascii="Times New Roman" w:hAnsi="Times New Roman" w:cs="Times New Roman"/>
          <w:b/>
          <w:color w:val="auto"/>
          <w:sz w:val="24"/>
          <w:szCs w:val="24"/>
        </w:rPr>
        <w:t>INTRODUÇÃO</w:t>
      </w:r>
    </w:p>
    <w:p w14:paraId="029162BC" w14:textId="77777777" w:rsidR="00DA15ED" w:rsidRPr="009E3A67" w:rsidRDefault="00DA15ED" w:rsidP="00DA15ED">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Nas sociedades africanas pós-coloniais, é comum atribuir às lideranças locais uma parte significativa da responsabilidade pelo subdesenvolvimento e pela miséria que persistem em muitos países. Esse julgamento baseia-se no fato de que, embora tenham conquistado a independência formal, os antigos colonizadores europeus já não estão fisicamente presentes, e os próprios governos africanos são, hoje, os principais responsáveis pelas estruturas de poder. De fato, muitas dessas lideranças perpetuam regimes autoritários e militarizados, que, apesar de realizarem eleições periódicas — geralmente a cada cinco anos — para atender às exigências formais de uma democracia de modelo ocidental, mantêm um controle rígido sobre as instituições estatais. Esse contexto político tem se repetido em diversos países do continente, alimentando o descontentamento popular e a crescente crítica às elites dirigentes locais.</w:t>
      </w:r>
    </w:p>
    <w:p w14:paraId="1E856DF0" w14:textId="77777777" w:rsidR="00DA15ED" w:rsidRPr="009E3A67" w:rsidRDefault="00DA15ED" w:rsidP="00DA15ED">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Apesar de esse cenário ser comum em muitos países africanos, é necessário levantar uma pergunta crítica: a África é realmente livre ou vive sob uma falsa independência, ainda subordinada ao Ocidente por meio de um neocolonialismo moderno? Essa reflexão nos leva a questionar até que ponto a autonomia política conquistada no papel se traduz em soberania real. No pensamento tradicional africano, prevalece a ideia de que “não se pode resolver os problemas sem olhar para as causas”, enfatizando a necessidade de compreender a fundo as raízes dos conflitos para alcançar soluções duradouras. Em contraste, nas abordagens convencionais das ciências políticas, predomina a crença de que “os problemas políticos sempre são resolvidos nos bastidores”, sugerindo que os acordos ocultos, interesses externos e estratégias de poder exercem papel central nas decisões que moldam os destinos dos Estados. Essas duas visões nos ajudam a aprofundar a análise crítica das realidades africanas contemporâneas.</w:t>
      </w:r>
    </w:p>
    <w:p w14:paraId="7FD74709" w14:textId="77777777" w:rsidR="00DA15ED" w:rsidRPr="009E3A67" w:rsidRDefault="00DA15ED" w:rsidP="00DA15ED">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Este texto propõe analisar duas dimensões fundamentais da conjuntura política africana contemporânea: por um lado, as dinâmicas autoritárias que marcaram — e ainda marcam — os regimes políticos de diversos países, como Angola, onde o MPLA (Movimento Popular de Libertação de Angola) governa de forma ininterrupta desde 1975, e Moçambique, sob o domínio da FRELIMO desde o mesmo período, além de outras nações africanas com estruturas semelhantes. Por outro lado, examinamos a recente revolução sociopolítica e midiática na região do Sahel, envolvendo países como Mali, Burkina Faso e Níger, que têm protagonizado rupturas significativas com as lógicas tradicionais do neocolonialismo e da subordinação geopolítica no continente.</w:t>
      </w:r>
    </w:p>
    <w:p w14:paraId="00CD139E" w14:textId="77777777" w:rsidR="00DA15ED" w:rsidRPr="009E3A67" w:rsidRDefault="00DA15ED" w:rsidP="00DA15ED">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Ao reunir esses dois eixos, buscamos refletir sobre como o neocolonialismo ainda opera nos bastidores das estruturas de poder africanas e como os movimentos populares e militares na região do Sahel vêm desafiando as formas tradicionais de dominação europeia e reconstruindo discursos de soberania no continente.</w:t>
      </w:r>
    </w:p>
    <w:p w14:paraId="567644E0" w14:textId="77777777" w:rsidR="00DA15ED" w:rsidRPr="009E3A67" w:rsidRDefault="00DA15ED" w:rsidP="00DA15ED">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No entanto, o desafio atual enfrentado em Angola e em toda a África vai além das lideranças africanas que reproduzem os regimes ditatoriais europeus, sendo egoístas e antinacionalistas, sem se preocuparem com a melhoria da qualidade de vida das populações e focadas apenas em enriquecer suas contas bancárias. Uma análise mais aprofundada revela que essas lideranças frequentemente são usadas como cobaias devido às complexas relações de ingerência e dependência com seus antigos colonizadores, que os colocam em uma posição de subjugação. Não obstante, também não podemos inocentar completamente as lideranças africanas dessa situação, visto que, já são adultos conscientes e se aceitam tais condições é porque desfrutam delas benefícios pessoais. </w:t>
      </w:r>
    </w:p>
    <w:p w14:paraId="123D3339" w14:textId="77777777" w:rsidR="00DA15ED" w:rsidRPr="009E3A67" w:rsidRDefault="00DA15ED" w:rsidP="00DA15ED">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Assim, nosso texto buscará explorar os aspectos menos discutido da história que são as interferências europeia nos problemas políticos e sociais dos estados africanos pós-coloniais. Reconhecemos que esses desafios estão profundamente enraizados nas heranças e consequências do colonialismo europeu na África contemporânea. </w:t>
      </w:r>
    </w:p>
    <w:p w14:paraId="50E2DB96" w14:textId="77777777" w:rsidR="00DA15ED" w:rsidRPr="009E3A67" w:rsidRDefault="00DA15ED" w:rsidP="00DA15ED">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Para fundamentar nossa discussão, adotamos a abordagem da pesquisa qualitativa, voltada à compreensão aprofundada dos fenômenos característicos das ciências humanas. Estabelecemos um diálogo crítico com fontes bibliográficas, valendo-nos do método de pesquisa histórica proposto por Aróstegui (2006), da teoria política desenvolvida por Easton (1953) e do uso de fontes digitais como via alternativa para o acesso a discursos, jornais, entrevistas e músicas, conforme a temática em análise. </w:t>
      </w:r>
    </w:p>
    <w:p w14:paraId="2A0EE714" w14:textId="77777777" w:rsidR="00DA15ED" w:rsidRPr="009E3A67" w:rsidRDefault="00DA15ED" w:rsidP="00DA15ED">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Com base nessas referências, buscamos analisar o impacto das estruturas coloniais no processo de descolonização africana, bem como nas manifestações contemporâneas do neocolonialismo, abrangendo o período do início do século XX até os dias atuais — contexto que aqui definimos como era pós-colonial.</w:t>
      </w:r>
    </w:p>
    <w:p w14:paraId="18C3BF16" w14:textId="77777777" w:rsidR="00CF6E98" w:rsidRPr="009E3A67" w:rsidRDefault="00CF6E98" w:rsidP="007E0BC6">
      <w:pPr>
        <w:jc w:val="both"/>
        <w:rPr>
          <w:rFonts w:ascii="Times New Roman" w:hAnsi="Times New Roman" w:cs="Times New Roman"/>
          <w:b/>
          <w:sz w:val="24"/>
          <w:szCs w:val="24"/>
        </w:rPr>
      </w:pPr>
    </w:p>
    <w:p w14:paraId="28867A26" w14:textId="48FD8493" w:rsidR="00DA15ED" w:rsidRDefault="005E5E1B" w:rsidP="007E0BC6">
      <w:pPr>
        <w:pStyle w:val="PargrafodaLista"/>
        <w:spacing w:after="0" w:line="257" w:lineRule="auto"/>
        <w:ind w:left="0"/>
        <w:jc w:val="both"/>
        <w:rPr>
          <w:rFonts w:ascii="Times New Roman" w:hAnsi="Times New Roman" w:cs="Times New Roman"/>
          <w:sz w:val="24"/>
          <w:szCs w:val="24"/>
        </w:rPr>
      </w:pPr>
      <w:r>
        <w:rPr>
          <w:rFonts w:ascii="Times New Roman" w:hAnsi="Times New Roman" w:cs="Times New Roman"/>
          <w:b/>
          <w:sz w:val="24"/>
          <w:szCs w:val="24"/>
        </w:rPr>
        <w:t>2.</w:t>
      </w:r>
      <w:r w:rsidR="007E0BC6">
        <w:rPr>
          <w:rFonts w:ascii="Times New Roman" w:hAnsi="Times New Roman" w:cs="Times New Roman"/>
          <w:b/>
          <w:sz w:val="24"/>
          <w:szCs w:val="24"/>
        </w:rPr>
        <w:t xml:space="preserve"> </w:t>
      </w:r>
      <w:r w:rsidR="00DA15ED" w:rsidRPr="009E3A67">
        <w:rPr>
          <w:rFonts w:ascii="Times New Roman" w:hAnsi="Times New Roman" w:cs="Times New Roman"/>
          <w:b/>
          <w:sz w:val="24"/>
          <w:szCs w:val="24"/>
        </w:rPr>
        <w:t>DESCOLONIZAÇÃO AFRICANA E A IMPOSIÇÃO DAS AGENDAS GEOPOLÍTICAS OCIDENTAIS NO SÉCULO XX</w:t>
      </w:r>
      <w:r w:rsidR="00DA15ED" w:rsidRPr="009E3A67">
        <w:rPr>
          <w:rFonts w:ascii="Times New Roman" w:hAnsi="Times New Roman" w:cs="Times New Roman"/>
          <w:sz w:val="24"/>
          <w:szCs w:val="24"/>
        </w:rPr>
        <w:t>.</w:t>
      </w:r>
    </w:p>
    <w:p w14:paraId="62D855B9" w14:textId="77777777" w:rsidR="0068054B" w:rsidRPr="009E3A67" w:rsidRDefault="0068054B" w:rsidP="0068054B">
      <w:pPr>
        <w:pStyle w:val="PargrafodaLista"/>
        <w:spacing w:after="0" w:line="257" w:lineRule="auto"/>
        <w:ind w:left="357"/>
        <w:jc w:val="both"/>
        <w:rPr>
          <w:rFonts w:ascii="Times New Roman" w:hAnsi="Times New Roman" w:cs="Times New Roman"/>
          <w:sz w:val="24"/>
          <w:szCs w:val="24"/>
        </w:rPr>
      </w:pPr>
    </w:p>
    <w:p w14:paraId="4A08BE66" w14:textId="77777777" w:rsidR="00DA15ED" w:rsidRPr="009E3A67" w:rsidRDefault="00DA15ED" w:rsidP="00DA15ED">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Os estudos pós-coloniais são em si mesmos o produto dialético destes complexos movimentos anticoloniais, fortemente marcados por um nacionalismo que conjuga a marca diaspórica dos seus líderes de formação cosmopolita e as tradições indígenas e pelo objetivo da libertação política que conduziu ao movimento reestruturante do mundo contemporâneo que foi a descolonização. Mas a libertação política não trouxe a libertação económica, condicionando a efetiva libertação política (MBEMBE, 2013).</w:t>
      </w:r>
    </w:p>
    <w:p w14:paraId="4C7D2A8B"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Tom (2015) destaca que, quando os povos dominados por essas potências coloniais se uniram para derrubar o sistema opressivo da ocupação colonial, suas aspirações foram enfrentadas pela resistência ilegítima e criminosa dos ocupantes, determinados a manter essa condição cruel, desumana e degradante. Isso ocorre porque o opressor raramente abre mão facilmente de suas conquistas. Por sua vez, Moore (2010) observa que, embora as campanhas de pacificação tenham ceifado as vidas de dezenas de milhões de pessoas, os povos africanos continuaram a resistir - muitas vezes contra a vontade de suas próprias elites colaboracionistas. </w:t>
      </w:r>
    </w:p>
    <w:p w14:paraId="78D5E804"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Durante o período de 1950 a 1970, o Pan-Africanismo estabeleceu uma enorme rede de contatos e trocas de conhecimentos com os povos revolucionários da Índia, Malásia, Paquistão, Irã, Indonésia e Iêmen, formando uma base política de pensadores e governantes denominada Terceiro Mundista, cuja linha de pensamento era autônoma em relação à União Soviética, marxista e aos Estados Unidos e Europa, que detinham um pensamento capitalista espoliativo (DA SILVA, et al, 2023). </w:t>
      </w:r>
    </w:p>
    <w:p w14:paraId="4132D345" w14:textId="77777777" w:rsidR="00DA15ED" w:rsidRPr="009E3A67" w:rsidRDefault="00DA15ED" w:rsidP="00733347">
      <w:pPr>
        <w:spacing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Para</w:t>
      </w:r>
      <w:r w:rsidRPr="009E3A67">
        <w:rPr>
          <w:rFonts w:ascii="Times New Roman" w:hAnsi="Times New Roman" w:cs="Times New Roman"/>
          <w:sz w:val="24"/>
          <w:szCs w:val="24"/>
        </w:rPr>
        <w:t xml:space="preserve"> Santos (2019), as independências africanas são marcadas pelo otimismo que permeava os discursos de seus líderes nacionalistas de libertação. No entanto, de acordo com Carlos Moore, a descolonização africana não representou necessariamente um evento de libertação total do jugo colonial europeu, como geralmente costumamos entender:</w:t>
      </w:r>
    </w:p>
    <w:p w14:paraId="55DFD49C" w14:textId="554F1FB6" w:rsidR="00DA15ED" w:rsidRPr="009E3A67" w:rsidRDefault="00DA15ED" w:rsidP="00733347">
      <w:pPr>
        <w:spacing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A independência política da África aconteceu num contexto de permanência da fragmentação imposta na Conferência de Berlim, agravada pelas novas fragmentações fomentadas pelas intrigas das metrópoles coloniais; foram estas as que criaram a maioria dos partidos “nacionalistas” e financiaram seus líderes. Desse modo, foram poucos os países africanos a chegar à independência com uma direção política independente e verdadeiramente pan-africanista (MOORE, 2010</w:t>
      </w:r>
      <w:r w:rsidR="00476063" w:rsidRPr="009E3A67">
        <w:rPr>
          <w:rFonts w:ascii="Times New Roman" w:hAnsi="Times New Roman" w:cs="Times New Roman"/>
          <w:sz w:val="20"/>
          <w:szCs w:val="20"/>
        </w:rPr>
        <w:t>:</w:t>
      </w:r>
      <w:r w:rsidR="00733347" w:rsidRPr="009E3A67">
        <w:rPr>
          <w:rFonts w:ascii="Times New Roman" w:hAnsi="Times New Roman" w:cs="Times New Roman"/>
          <w:sz w:val="20"/>
          <w:szCs w:val="20"/>
        </w:rPr>
        <w:t xml:space="preserve"> </w:t>
      </w:r>
      <w:r w:rsidRPr="009E3A67">
        <w:rPr>
          <w:rFonts w:ascii="Times New Roman" w:hAnsi="Times New Roman" w:cs="Times New Roman"/>
          <w:sz w:val="20"/>
          <w:szCs w:val="20"/>
        </w:rPr>
        <w:t>42-43).</w:t>
      </w:r>
    </w:p>
    <w:p w14:paraId="06EC36A6" w14:textId="77777777" w:rsidR="00DA15ED" w:rsidRPr="009E3A67" w:rsidRDefault="00DA15ED" w:rsidP="00DA15ED">
      <w:pPr>
        <w:spacing w:after="0" w:line="240" w:lineRule="auto"/>
        <w:ind w:left="2268" w:firstLine="709"/>
        <w:jc w:val="both"/>
        <w:rPr>
          <w:rFonts w:ascii="Times New Roman" w:hAnsi="Times New Roman" w:cs="Times New Roman"/>
          <w:sz w:val="24"/>
          <w:szCs w:val="24"/>
        </w:rPr>
      </w:pPr>
    </w:p>
    <w:p w14:paraId="2EF926D8"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Por isso, desde a independência do Gana, em 1957, os grandes pensadores políticos africanos e pan-africanistas, como </w:t>
      </w:r>
      <w:r w:rsidRPr="009E3A67">
        <w:rPr>
          <w:rFonts w:ascii="Times New Roman" w:eastAsia="Calibri" w:hAnsi="Times New Roman" w:cs="Times New Roman"/>
          <w:i/>
          <w:iCs/>
          <w:sz w:val="24"/>
          <w:szCs w:val="24"/>
        </w:rPr>
        <w:t>Kwame Nkrumah, W.E.B. DuBois, Jomo Kenyatta, Patrice Lumumba, Cheik Anta Diop, Julius Nyerere, Marcus Garvey, Amílcar Cabral, entre outros,</w:t>
      </w:r>
      <w:r w:rsidRPr="009E3A67">
        <w:rPr>
          <w:rFonts w:ascii="Times New Roman" w:eastAsia="Calibri" w:hAnsi="Times New Roman" w:cs="Times New Roman"/>
          <w:sz w:val="24"/>
          <w:szCs w:val="24"/>
        </w:rPr>
        <w:t xml:space="preserve"> apontavam para o dilema da Conferência de Berlim diante da descolonização africana como a nova ferramenta de controle europeu sobre a África subsaariana. Isso se dava devido ao fato de os antigos colonizadores financiarem os partidos nacionalistas africanos que lutavam contra eles para a independência política africana.</w:t>
      </w:r>
    </w:p>
    <w:p w14:paraId="2753EA36" w14:textId="4E4C6049"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Os novos países africanos independentes rapidamente se dividiram em dois blocos distintos. Um desses blocos, majoritário, era composto por lideranças africanas que se mostravam obedientes ao imperialismo, caracterizadas por Moore (2010</w:t>
      </w:r>
      <w:r w:rsidR="00476063" w:rsidRPr="009E3A67">
        <w:rPr>
          <w:rFonts w:ascii="Times New Roman" w:eastAsia="Calibri" w:hAnsi="Times New Roman" w:cs="Times New Roman"/>
          <w:sz w:val="24"/>
          <w:szCs w:val="24"/>
        </w:rPr>
        <w:t>:</w:t>
      </w:r>
      <w:r w:rsidRPr="009E3A67">
        <w:rPr>
          <w:rFonts w:ascii="Times New Roman" w:eastAsia="Calibri" w:hAnsi="Times New Roman" w:cs="Times New Roman"/>
          <w:sz w:val="24"/>
          <w:szCs w:val="24"/>
        </w:rPr>
        <w:t>45) como "neocolonialistas traidores". Estes líderes serviam como guardiões dos interesses das potências imperialistas do mundo ocidental e norte-americano que os colocaram no poder. Recebiam apoio e até mesmo eram acariciados com a reprodução dos regimes ditatoriais. Enquanto isso, o outro bloco, em minoria, consistia em líderes que se recusavam a se ocidentalizar. Para Moore (2010), esses líderes eram os verdadeiros defensores dos interesses do continente, cunhados de pan-africanistas. Eles representavam os interesses propriamente africanos e, como resultado, sofreram diretamente com a mão pesada do eurocentrismo, como será abordado mais adiante no texto.</w:t>
      </w:r>
    </w:p>
    <w:p w14:paraId="594CE6DE"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lang w:val="pt-PT"/>
        </w:rPr>
      </w:pPr>
      <w:r w:rsidRPr="009E3A67">
        <w:rPr>
          <w:rFonts w:ascii="Times New Roman" w:eastAsia="Calibri" w:hAnsi="Times New Roman" w:cs="Times New Roman"/>
          <w:sz w:val="24"/>
          <w:szCs w:val="24"/>
        </w:rPr>
        <w:t>Nos dois blocos ideológicos das lideranças africanas, as questões de "soberania" e "autonomia" requerem uma análise detalhada, pois foram alvos principais das interferências do imperialismo europeu. Os primeiros governos nacionalistas africanos pós-coloniais, ao alcançarem suas independências na década de 1950, logo se viram envolvidos nas tensões da Guerra Fria ocidental (MBEMBE, 2013). Esta era uma disputa essencialmente entre duas superpotências, os Estados Unidos e a União Soviética, competindo globalmente em termos ideológicos e geopolíticos — o capitalismo liderado pelos EUA versus o comunismo representado pela União Soviética, conforme sublinhado por Hobsbawm (1945).</w:t>
      </w:r>
    </w:p>
    <w:p w14:paraId="7641B6E6" w14:textId="27F9667F"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Segundo Clarke (1991</w:t>
      </w:r>
      <w:r w:rsidR="00476063" w:rsidRPr="009E3A67">
        <w:rPr>
          <w:rFonts w:ascii="Times New Roman" w:eastAsia="Calibri" w:hAnsi="Times New Roman" w:cs="Times New Roman"/>
          <w:sz w:val="24"/>
          <w:szCs w:val="24"/>
        </w:rPr>
        <w:t>:</w:t>
      </w:r>
      <w:r w:rsidRPr="009E3A67">
        <w:rPr>
          <w:rFonts w:ascii="Times New Roman" w:eastAsia="Calibri" w:hAnsi="Times New Roman" w:cs="Times New Roman"/>
          <w:sz w:val="24"/>
          <w:szCs w:val="24"/>
        </w:rPr>
        <w:t>389), "[...] os europeus decidiram que exerceriam domínio global, seja por meio do comunismo, do capitalismo, do socialismo ou do fascismo". É crucial ressaltar que o imperialismo europeu não introduziu arbitrariamente, nem por vontade divina, o marxismo, socialismo, capitalismo, línguas coloniais e o cristianismo na África. Essas ideologias políticas, econômicas e educacionais hegemônicas foram impostas no território africano através da força e do racismo europeu. Por exemplo, no contexto da África Austral, os partidos-estados como o MPLA em Angola e a FRELIMO em Moçambique adotaram o regime comunista das antigas URSS devido à forte influência da Rússia e de Cuba sobre a região.</w:t>
      </w:r>
    </w:p>
    <w:p w14:paraId="5212971B"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Nessa conjuntura, as lideranças africanas se viram obrigadas a alinhar-se politicamente com um dos blocos ocidentais, muitas vezes sem um profundo entendimento das dinâmicas políticas e econômicas envolvidas. Como </w:t>
      </w:r>
      <w:r w:rsidRPr="009E3A67">
        <w:rPr>
          <w:rFonts w:ascii="Times New Roman" w:eastAsia="Calibri" w:hAnsi="Times New Roman" w:cs="Times New Roman"/>
          <w:i/>
          <w:iCs/>
          <w:sz w:val="24"/>
          <w:szCs w:val="24"/>
        </w:rPr>
        <w:t xml:space="preserve">Kwame Nkrumah </w:t>
      </w:r>
      <w:r w:rsidRPr="009E3A67">
        <w:rPr>
          <w:rFonts w:ascii="Times New Roman" w:eastAsia="Calibri" w:hAnsi="Times New Roman" w:cs="Times New Roman"/>
          <w:iCs/>
          <w:sz w:val="24"/>
          <w:szCs w:val="24"/>
        </w:rPr>
        <w:t>(1976)</w:t>
      </w:r>
      <w:r w:rsidRPr="009E3A67">
        <w:rPr>
          <w:rFonts w:ascii="Times New Roman" w:eastAsia="Calibri" w:hAnsi="Times New Roman" w:cs="Times New Roman"/>
          <w:sz w:val="24"/>
          <w:szCs w:val="24"/>
        </w:rPr>
        <w:t xml:space="preserve"> descreve em seu livro </w:t>
      </w:r>
      <w:r w:rsidRPr="009E3A67">
        <w:rPr>
          <w:rFonts w:ascii="Times New Roman" w:eastAsia="Calibri" w:hAnsi="Times New Roman" w:cs="Times New Roman"/>
          <w:i/>
          <w:iCs/>
          <w:sz w:val="24"/>
          <w:szCs w:val="24"/>
        </w:rPr>
        <w:t xml:space="preserve">"A Luta de Classe em África", </w:t>
      </w:r>
      <w:r w:rsidRPr="009E3A67">
        <w:rPr>
          <w:rFonts w:ascii="Times New Roman" w:eastAsia="Calibri" w:hAnsi="Times New Roman" w:cs="Times New Roman"/>
          <w:sz w:val="24"/>
          <w:szCs w:val="24"/>
        </w:rPr>
        <w:t xml:space="preserve">a imposição da ideologia marxista e socialista na África evidenciou uma falta de compreensão dos princípios de coletividade e compartilhamento de recursos econômicos no continente. Essa ignorância remete ao argumento de Keita (2009), que destaca a diferença entre a África negra e a Europa, onde não existiam grandes propriedades de terra pertencentes a senhores todo-poderosos, ou seja, grandes latifundiários. Na África, o solo sempre foi considerado propriedade inalienável, pertencente à comunidade como um todo. </w:t>
      </w:r>
    </w:p>
    <w:p w14:paraId="2E3BC2E6"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No entanto, a seguir, analisaremos como a Guerra Fria e o imperialismo europeu, impostos ao longo do século XX, influenciaram e contribuíram para o controle e o subdesenvolvimento dos Estados africanos no período pós-</w:t>
      </w:r>
      <w:r w:rsidR="00733347" w:rsidRPr="009E3A67">
        <w:rPr>
          <w:rFonts w:ascii="Times New Roman" w:eastAsia="Calibri" w:hAnsi="Times New Roman" w:cs="Times New Roman"/>
          <w:sz w:val="24"/>
          <w:szCs w:val="24"/>
        </w:rPr>
        <w:t>colonial...</w:t>
      </w:r>
    </w:p>
    <w:p w14:paraId="45B0AE19" w14:textId="77777777" w:rsidR="00DA15ED" w:rsidRPr="009E3A67" w:rsidRDefault="00DA15ED" w:rsidP="00DA15ED">
      <w:pPr>
        <w:spacing w:after="0" w:line="360" w:lineRule="auto"/>
        <w:ind w:firstLine="709"/>
        <w:jc w:val="both"/>
        <w:rPr>
          <w:rFonts w:ascii="Times New Roman" w:eastAsia="Calibri" w:hAnsi="Times New Roman" w:cs="Times New Roman"/>
          <w:sz w:val="24"/>
          <w:szCs w:val="24"/>
        </w:rPr>
      </w:pPr>
    </w:p>
    <w:p w14:paraId="2613C5EE" w14:textId="123D878D" w:rsidR="00DA15ED" w:rsidRPr="009E3A67" w:rsidRDefault="005E5E1B" w:rsidP="001C5B7E">
      <w:pPr>
        <w:pStyle w:val="Ttulo2"/>
        <w:spacing w:line="240" w:lineRule="auto"/>
        <w:jc w:val="both"/>
        <w:rPr>
          <w:rFonts w:ascii="Times New Roman" w:eastAsia="Calibri" w:hAnsi="Times New Roman" w:cs="Times New Roman"/>
          <w:color w:val="auto"/>
          <w:sz w:val="24"/>
          <w:szCs w:val="24"/>
        </w:rPr>
      </w:pPr>
      <w:r>
        <w:rPr>
          <w:rFonts w:ascii="Times New Roman" w:eastAsia="Calibri" w:hAnsi="Times New Roman" w:cs="Times New Roman"/>
          <w:b/>
          <w:color w:val="auto"/>
          <w:sz w:val="24"/>
          <w:szCs w:val="24"/>
        </w:rPr>
        <w:t>2.1</w:t>
      </w:r>
      <w:r w:rsidR="00733347" w:rsidRPr="009E3A67">
        <w:rPr>
          <w:rFonts w:ascii="Times New Roman" w:eastAsia="Calibri" w:hAnsi="Times New Roman" w:cs="Times New Roman"/>
          <w:b/>
          <w:color w:val="auto"/>
          <w:sz w:val="24"/>
          <w:szCs w:val="24"/>
        </w:rPr>
        <w:t xml:space="preserve"> </w:t>
      </w:r>
      <w:r w:rsidR="00DA15ED" w:rsidRPr="009E3A67">
        <w:rPr>
          <w:rFonts w:ascii="Times New Roman" w:eastAsia="Calibri" w:hAnsi="Times New Roman" w:cs="Times New Roman"/>
          <w:b/>
          <w:color w:val="auto"/>
          <w:sz w:val="24"/>
          <w:szCs w:val="24"/>
        </w:rPr>
        <w:t>A CONJUNTURA DA GUERRA FRIA NA ÁFRICA: NEOCOLONIALISMO E O IMPACTO DO IMPERIALISMO EUROPEU NOS ESTADOS PÓS-COLONIAIS</w:t>
      </w:r>
      <w:r w:rsidR="00DA15ED" w:rsidRPr="009E3A67">
        <w:rPr>
          <w:rFonts w:ascii="Times New Roman" w:eastAsia="Calibri" w:hAnsi="Times New Roman" w:cs="Times New Roman"/>
          <w:color w:val="auto"/>
          <w:sz w:val="24"/>
          <w:szCs w:val="24"/>
        </w:rPr>
        <w:t>.</w:t>
      </w:r>
    </w:p>
    <w:p w14:paraId="6A30AF3E" w14:textId="77777777" w:rsidR="001C5B7E" w:rsidRPr="009E3A67" w:rsidRDefault="001C5B7E" w:rsidP="001C5B7E">
      <w:pPr>
        <w:rPr>
          <w:rFonts w:ascii="Times New Roman" w:hAnsi="Times New Roman" w:cs="Times New Roman"/>
          <w:lang w:val="pt-PT"/>
        </w:rPr>
      </w:pPr>
    </w:p>
    <w:p w14:paraId="5F9D14EC"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Segundo Nkrumah (1967), o neocolonialismo se baseia no princípio de dividir grandes territórios coloniais, que antes eram unidos, em diversos pequenos Estados inviáveis. Esses Estados são incapazes de se desenvolver de forma independente e acabam dependendo das antigas potências imperiais para defesa e segurança interna. Em outras palavras, o neocolonialismo representa a continuidade do imperialismo europeu sobre as nações africanas, onde essas nações são exploradas politicamente e economicamente por interesses estrangeiros, em detrimento de seu próprio desenvolvimento.</w:t>
      </w:r>
    </w:p>
    <w:p w14:paraId="28389D4B"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De acordo com Eric Hobsbawm, a Guerra Fria foi acompanhada pelo imperialismo europeu e pela globalização, os quais buscavam expandir sua influência no mundo tanto por meio da força quanto por meio de instituições nos países colonizados. O autor descreve que a Era dos Impérios não foi apenas um fenômeno econômico e político, mas também cultural:</w:t>
      </w:r>
    </w:p>
    <w:p w14:paraId="1EF70DE1" w14:textId="77777777" w:rsidR="00DA15ED" w:rsidRPr="009E3A67" w:rsidRDefault="00DA15ED" w:rsidP="00DA15ED">
      <w:pPr>
        <w:spacing w:after="0" w:line="360" w:lineRule="auto"/>
        <w:ind w:firstLine="708"/>
        <w:jc w:val="both"/>
        <w:rPr>
          <w:rFonts w:ascii="Times New Roman" w:eastAsia="Calibri" w:hAnsi="Times New Roman" w:cs="Times New Roman"/>
          <w:sz w:val="24"/>
          <w:szCs w:val="24"/>
        </w:rPr>
      </w:pPr>
    </w:p>
    <w:p w14:paraId="06DC3D18" w14:textId="26832F43" w:rsidR="00DA15ED" w:rsidRPr="009E3A67" w:rsidRDefault="00DA15ED" w:rsidP="00733347">
      <w:pPr>
        <w:spacing w:after="0" w:line="240" w:lineRule="auto"/>
        <w:ind w:left="2268"/>
        <w:jc w:val="both"/>
        <w:rPr>
          <w:rFonts w:ascii="Times New Roman" w:eastAsia="Calibri" w:hAnsi="Times New Roman" w:cs="Times New Roman"/>
          <w:sz w:val="24"/>
          <w:szCs w:val="24"/>
        </w:rPr>
      </w:pPr>
      <w:r w:rsidRPr="009E3A67">
        <w:rPr>
          <w:rFonts w:ascii="Times New Roman" w:eastAsia="Calibri" w:hAnsi="Times New Roman" w:cs="Times New Roman"/>
          <w:sz w:val="20"/>
          <w:szCs w:val="20"/>
        </w:rPr>
        <w:t xml:space="preserve">[...] A Era dos Impérios não foi apenas um </w:t>
      </w:r>
      <w:r w:rsidR="00733347" w:rsidRPr="009E3A67">
        <w:rPr>
          <w:rFonts w:ascii="Times New Roman" w:eastAsia="Calibri" w:hAnsi="Times New Roman" w:cs="Times New Roman"/>
          <w:sz w:val="20"/>
          <w:szCs w:val="20"/>
        </w:rPr>
        <w:t>fenômeno</w:t>
      </w:r>
      <w:r w:rsidRPr="009E3A67">
        <w:rPr>
          <w:rFonts w:ascii="Times New Roman" w:eastAsia="Calibri" w:hAnsi="Times New Roman" w:cs="Times New Roman"/>
          <w:sz w:val="20"/>
          <w:szCs w:val="20"/>
        </w:rPr>
        <w:t xml:space="preserve"> econômico e político mas também cultural: a conquista do globo pelas imagens, ideias e aspirações transformadas de sua minoria “desenvolvida”, tanto pela força e pelas instituições como por meio do exemplo e da transformação social. Nos países dependentes isto dificilmente afetou alguém fora das elites locais, embora, é claro, se deva lembrar que em algumas regiões, como a África </w:t>
      </w:r>
      <w:r w:rsidR="00733347" w:rsidRPr="009E3A67">
        <w:rPr>
          <w:rFonts w:ascii="Times New Roman" w:eastAsia="Calibri" w:hAnsi="Times New Roman" w:cs="Times New Roman"/>
          <w:sz w:val="20"/>
          <w:szCs w:val="20"/>
        </w:rPr>
        <w:t>subsaariana</w:t>
      </w:r>
      <w:r w:rsidRPr="009E3A67">
        <w:rPr>
          <w:rFonts w:ascii="Times New Roman" w:eastAsia="Calibri" w:hAnsi="Times New Roman" w:cs="Times New Roman"/>
          <w:sz w:val="20"/>
          <w:szCs w:val="20"/>
        </w:rPr>
        <w:t>, foi o próprio imperialismo, ou o fenômeno associado às missões cristãs, que criou a possibilidade da existência de uma nova elite social na educação de estilo ocidental (HOBSBAWN, 2002</w:t>
      </w:r>
      <w:r w:rsidR="00476063" w:rsidRPr="009E3A67">
        <w:rPr>
          <w:rFonts w:ascii="Times New Roman" w:eastAsia="Calibri" w:hAnsi="Times New Roman" w:cs="Times New Roman"/>
          <w:sz w:val="20"/>
          <w:szCs w:val="20"/>
        </w:rPr>
        <w:t>:</w:t>
      </w:r>
      <w:r w:rsidRPr="009E3A67">
        <w:rPr>
          <w:rFonts w:ascii="Times New Roman" w:eastAsia="Calibri" w:hAnsi="Times New Roman" w:cs="Times New Roman"/>
          <w:sz w:val="20"/>
          <w:szCs w:val="20"/>
        </w:rPr>
        <w:t>114).</w:t>
      </w:r>
    </w:p>
    <w:p w14:paraId="4A2078B7" w14:textId="77777777" w:rsidR="00DA15ED" w:rsidRPr="009E3A67" w:rsidRDefault="00DA15ED" w:rsidP="00DA15ED">
      <w:pPr>
        <w:spacing w:after="0" w:line="240" w:lineRule="auto"/>
        <w:ind w:left="2268"/>
        <w:jc w:val="both"/>
        <w:rPr>
          <w:rFonts w:ascii="Times New Roman" w:eastAsia="Calibri" w:hAnsi="Times New Roman" w:cs="Times New Roman"/>
        </w:rPr>
      </w:pPr>
    </w:p>
    <w:p w14:paraId="5AC3EAC2" w14:textId="77777777" w:rsidR="00DA15ED" w:rsidRPr="009E3A67" w:rsidRDefault="00DA15ED" w:rsidP="00DA15ED">
      <w:pPr>
        <w:spacing w:after="0" w:line="360" w:lineRule="auto"/>
        <w:ind w:firstLine="709"/>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Hobsbawn ainda acrescenta que:</w:t>
      </w:r>
    </w:p>
    <w:p w14:paraId="2911EBFF" w14:textId="77777777" w:rsidR="00DA15ED" w:rsidRPr="009E3A67" w:rsidRDefault="00DA15ED" w:rsidP="00DA15ED">
      <w:pPr>
        <w:spacing w:after="0" w:line="360" w:lineRule="auto"/>
        <w:ind w:firstLine="709"/>
        <w:jc w:val="both"/>
        <w:rPr>
          <w:rFonts w:ascii="Times New Roman" w:eastAsia="Calibri" w:hAnsi="Times New Roman" w:cs="Times New Roman"/>
          <w:sz w:val="24"/>
          <w:szCs w:val="24"/>
        </w:rPr>
      </w:pPr>
    </w:p>
    <w:p w14:paraId="2F974F1C" w14:textId="7F57183C" w:rsidR="00DA15ED" w:rsidRPr="009E3A67" w:rsidRDefault="00DA15ED" w:rsidP="00733347">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xml:space="preserve">O que o imperialismo trouxe às elites efetivas ou potenciais no mundo dependente, </w:t>
      </w:r>
      <w:r w:rsidR="00733347" w:rsidRPr="009E3A67">
        <w:rPr>
          <w:rFonts w:ascii="Times New Roman" w:eastAsia="Calibri" w:hAnsi="Times New Roman" w:cs="Times New Roman"/>
          <w:sz w:val="20"/>
          <w:szCs w:val="20"/>
        </w:rPr>
        <w:t>foi,</w:t>
      </w:r>
      <w:r w:rsidRPr="009E3A67">
        <w:rPr>
          <w:rFonts w:ascii="Times New Roman" w:eastAsia="Calibri" w:hAnsi="Times New Roman" w:cs="Times New Roman"/>
          <w:sz w:val="20"/>
          <w:szCs w:val="20"/>
        </w:rPr>
        <w:t xml:space="preserve"> portanto, essencialmente a “ocidentalização”. Esse processo já estava, sem dúvida, em curso há muito tempo. Por várias décadas fora claro, para todos os </w:t>
      </w:r>
      <w:r w:rsidR="00733347" w:rsidRPr="009E3A67">
        <w:rPr>
          <w:rFonts w:ascii="Times New Roman" w:eastAsia="Calibri" w:hAnsi="Times New Roman" w:cs="Times New Roman"/>
          <w:sz w:val="20"/>
          <w:szCs w:val="20"/>
        </w:rPr>
        <w:t>governos e</w:t>
      </w:r>
      <w:r w:rsidRPr="009E3A67">
        <w:rPr>
          <w:rFonts w:ascii="Times New Roman" w:eastAsia="Calibri" w:hAnsi="Times New Roman" w:cs="Times New Roman"/>
          <w:sz w:val="20"/>
          <w:szCs w:val="20"/>
        </w:rPr>
        <w:t xml:space="preserve"> elites confrontados à dependência ou à conquista, que eles </w:t>
      </w:r>
      <w:r w:rsidR="00733347" w:rsidRPr="009E3A67">
        <w:rPr>
          <w:rFonts w:ascii="Times New Roman" w:eastAsia="Calibri" w:hAnsi="Times New Roman" w:cs="Times New Roman"/>
          <w:sz w:val="20"/>
          <w:szCs w:val="20"/>
        </w:rPr>
        <w:t>tinham</w:t>
      </w:r>
      <w:r w:rsidRPr="009E3A67">
        <w:rPr>
          <w:rFonts w:ascii="Times New Roman" w:eastAsia="Calibri" w:hAnsi="Times New Roman" w:cs="Times New Roman"/>
          <w:sz w:val="20"/>
          <w:szCs w:val="20"/>
        </w:rPr>
        <w:t xml:space="preserve"> que se ocidentalizar, caso contrário, desapareceriam (HOBSBAWN, 20022</w:t>
      </w:r>
      <w:r w:rsidR="00476063" w:rsidRPr="009E3A67">
        <w:rPr>
          <w:rFonts w:ascii="Times New Roman" w:eastAsia="Calibri" w:hAnsi="Times New Roman" w:cs="Times New Roman"/>
          <w:sz w:val="20"/>
          <w:szCs w:val="20"/>
        </w:rPr>
        <w:t>:</w:t>
      </w:r>
      <w:r w:rsidRPr="009E3A67">
        <w:rPr>
          <w:rFonts w:ascii="Times New Roman" w:eastAsia="Calibri" w:hAnsi="Times New Roman" w:cs="Times New Roman"/>
          <w:sz w:val="20"/>
          <w:szCs w:val="20"/>
        </w:rPr>
        <w:t>115).</w:t>
      </w:r>
    </w:p>
    <w:p w14:paraId="5AC2A4DC" w14:textId="77777777" w:rsidR="00DA15ED" w:rsidRPr="009E3A67" w:rsidRDefault="00DA15ED" w:rsidP="00DA15ED">
      <w:pPr>
        <w:spacing w:after="0" w:line="240" w:lineRule="auto"/>
        <w:ind w:left="2268" w:firstLine="709"/>
        <w:jc w:val="both"/>
        <w:rPr>
          <w:rFonts w:ascii="Times New Roman" w:eastAsia="Calibri" w:hAnsi="Times New Roman" w:cs="Times New Roman"/>
          <w:sz w:val="20"/>
          <w:szCs w:val="20"/>
        </w:rPr>
      </w:pPr>
    </w:p>
    <w:p w14:paraId="783B74E5"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Com base na citação acima, percebe-se que os antigos colonizadores europeus impuseram a ocidentalização de forma política, econômica e cultural nos territórios africanos. A imposição era acompanhada de ameaças de desaparecimento para os países que não aceitassem suas políticas, revelando um neocolonialismo racista durante uma era globalizada. Nesse contexto, as antigas colônias eram forçadas a adotar as agendas dos colonizadores.</w:t>
      </w:r>
    </w:p>
    <w:p w14:paraId="1C006164"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bookmarkStart w:id="2" w:name="_Hlk171334267"/>
      <w:r w:rsidRPr="009E3A67">
        <w:rPr>
          <w:rFonts w:ascii="Times New Roman" w:eastAsia="Calibri" w:hAnsi="Times New Roman" w:cs="Times New Roman"/>
          <w:sz w:val="24"/>
          <w:szCs w:val="24"/>
        </w:rPr>
        <w:t>O processo de ocidentalização na África trouxe diversas mudanças tanto políticas, econômicas quanto culturais. Isso incluiu a desvalorização das moedas locais, a adoção de modelos monolinguísticos</w:t>
      </w:r>
      <w:r w:rsidR="00733347" w:rsidRPr="009E3A67">
        <w:rPr>
          <w:rFonts w:ascii="Times New Roman" w:eastAsia="Calibri" w:hAnsi="Times New Roman" w:cs="Times New Roman"/>
          <w:sz w:val="24"/>
          <w:szCs w:val="24"/>
        </w:rPr>
        <w:t xml:space="preserve"> </w:t>
      </w:r>
      <w:r w:rsidRPr="009E3A67">
        <w:rPr>
          <w:rFonts w:ascii="Times New Roman" w:eastAsia="Calibri" w:hAnsi="Times New Roman" w:cs="Times New Roman"/>
          <w:sz w:val="24"/>
          <w:szCs w:val="24"/>
        </w:rPr>
        <w:t>baseados em línguas indo-europeias, a disseminação da educação religiosa cristã e o uso de vestimentas ocidentais nas instituições estatais africanas, marcando uma era de assimilação cultural. No campo da educação formal, o imperialismo promoveu o que Quijano (2005) descreve como a "colonialidade do poder", influenciando todos os níveis de formação a alienação acadêmica. Essa hierarquia global favorece o Norte Global em detrimento do Sul Global, impondo currículos eurocêntricos nos sistemas educacionais africanos.</w:t>
      </w:r>
    </w:p>
    <w:bookmarkEnd w:id="2"/>
    <w:p w14:paraId="55A4F7E4"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No pós-independência, a África subsaariana, apesar de formalmente livre, permaneceu sob influência europeia através de endividamentos e acordos secretos. Ngoenha (2013) observa que diferentes países adotaram várias estratégias econômicas após suas independências, como economias planificadas ou programas de ajuste estrutural, todas sem sucesso. Isso levanta a questão essencial: qual o verdadeiro significado da independência política sem poder econômico em um mundo onde as moedas locais têm pouco valor e as transações econômicas são feitas predominantemente com as moedas dos antigos colonizadores e seus aliados?</w:t>
      </w:r>
    </w:p>
    <w:p w14:paraId="34C6D95E"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Durante uma reunião extraordinária da antiga Organização da Unidade Africana (OUA) </w:t>
      </w:r>
      <w:r w:rsidRPr="009E3A67">
        <w:rPr>
          <w:rStyle w:val="Refdenotaderodap"/>
          <w:rFonts w:ascii="Times New Roman" w:eastAsia="Calibri" w:hAnsi="Times New Roman" w:cs="Times New Roman"/>
          <w:sz w:val="24"/>
          <w:szCs w:val="24"/>
        </w:rPr>
        <w:footnoteReference w:id="6"/>
      </w:r>
      <w:r w:rsidRPr="009E3A67">
        <w:rPr>
          <w:rFonts w:ascii="Times New Roman" w:eastAsia="Calibri" w:hAnsi="Times New Roman" w:cs="Times New Roman"/>
          <w:sz w:val="24"/>
          <w:szCs w:val="24"/>
        </w:rPr>
        <w:t xml:space="preserve">em 29 de julho de 1987, atualmente União Africana (UA), o presidente de Burkina Faso, </w:t>
      </w:r>
      <w:r w:rsidRPr="009E3A67">
        <w:rPr>
          <w:rFonts w:ascii="Times New Roman" w:eastAsia="Calibri" w:hAnsi="Times New Roman" w:cs="Times New Roman"/>
          <w:i/>
          <w:iCs/>
          <w:sz w:val="24"/>
          <w:szCs w:val="24"/>
        </w:rPr>
        <w:t>Thomas Sankara</w:t>
      </w:r>
      <w:r w:rsidRPr="009E3A67">
        <w:rPr>
          <w:rFonts w:ascii="Times New Roman" w:eastAsia="Calibri" w:hAnsi="Times New Roman" w:cs="Times New Roman"/>
          <w:sz w:val="24"/>
          <w:szCs w:val="24"/>
        </w:rPr>
        <w:t>, criticou as interferências ocidentais no mercado econômico africano e defendeu a autonomia e autossuficiência como os verdadeiros motores para o desenvolvimento do continente, conforme nos mostra o discurso:</w:t>
      </w:r>
    </w:p>
    <w:p w14:paraId="4B8DC86F" w14:textId="77777777" w:rsidR="00DA15ED" w:rsidRPr="009E3A67" w:rsidRDefault="00DA15ED" w:rsidP="00DA15ED">
      <w:pPr>
        <w:spacing w:after="0" w:line="360" w:lineRule="auto"/>
        <w:ind w:firstLine="709"/>
        <w:jc w:val="both"/>
        <w:rPr>
          <w:rFonts w:ascii="Times New Roman" w:eastAsia="Calibri" w:hAnsi="Times New Roman" w:cs="Times New Roman"/>
          <w:sz w:val="24"/>
          <w:szCs w:val="24"/>
        </w:rPr>
      </w:pPr>
    </w:p>
    <w:p w14:paraId="194F29A3" w14:textId="77777777" w:rsidR="00DA15ED" w:rsidRPr="009E3A67" w:rsidRDefault="00DA15ED" w:rsidP="00733347">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xml:space="preserve">Temos capacidade intelectual suficiente para criar, ou pelo menos para nos apropriarmos da tecnologia e da ciência existentes. Façamos de igualmente, de modo que o mercado africano seja o mercado dos africanos, produzir em África, transformar em África e consumir em África. Produzamos aquilo que necessitamos e consumamos aquilo que produzimos, em vez de importar. O Burkina Faso vem mostrar aqui a roupa cottonate, produzida no Burkina Faso, tecida no Burkina Faso, costurada no Burkina Faso, para vestir os burquinenses. A minha delegação e eu mesmo, estamos vestidos pelos nossos tecelões, pelos nossos camponeses. Não há um único fio proveniente da Europa ou da América. Não pretendo fazer um desfile de </w:t>
      </w:r>
      <w:r w:rsidR="00733347" w:rsidRPr="009E3A67">
        <w:rPr>
          <w:rFonts w:ascii="Times New Roman" w:eastAsia="Calibri" w:hAnsi="Times New Roman" w:cs="Times New Roman"/>
          <w:sz w:val="20"/>
          <w:szCs w:val="20"/>
        </w:rPr>
        <w:t>moda,</w:t>
      </w:r>
      <w:r w:rsidRPr="009E3A67">
        <w:rPr>
          <w:rFonts w:ascii="Times New Roman" w:eastAsia="Calibri" w:hAnsi="Times New Roman" w:cs="Times New Roman"/>
          <w:sz w:val="20"/>
          <w:szCs w:val="20"/>
        </w:rPr>
        <w:t xml:space="preserve"> mas pretendo simples dizer que devemos aceitar viver como africanos, essa é a única forma de vivermos livres e de vivermos com dignidade. Eu agradeço-lhe, senhor Presidente, Pátria ou Morte, venceremos.</w:t>
      </w:r>
      <w:r w:rsidRPr="009E3A67">
        <w:rPr>
          <w:rStyle w:val="Refdenotaderodap"/>
          <w:rFonts w:ascii="Times New Roman" w:eastAsia="Calibri" w:hAnsi="Times New Roman" w:cs="Times New Roman"/>
          <w:sz w:val="20"/>
          <w:szCs w:val="20"/>
        </w:rPr>
        <w:footnoteReference w:id="7"/>
      </w:r>
    </w:p>
    <w:p w14:paraId="0CFD077E" w14:textId="77777777" w:rsidR="00DA15ED" w:rsidRPr="009E3A67" w:rsidRDefault="00DA15ED" w:rsidP="00DA15ED">
      <w:pPr>
        <w:spacing w:after="0" w:line="360" w:lineRule="auto"/>
        <w:ind w:left="2268"/>
        <w:jc w:val="both"/>
        <w:rPr>
          <w:rFonts w:ascii="Times New Roman" w:eastAsia="Calibri" w:hAnsi="Times New Roman" w:cs="Times New Roman"/>
          <w:sz w:val="20"/>
          <w:szCs w:val="20"/>
        </w:rPr>
      </w:pPr>
    </w:p>
    <w:p w14:paraId="621525DE"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i/>
          <w:iCs/>
          <w:sz w:val="24"/>
          <w:szCs w:val="24"/>
        </w:rPr>
        <w:t xml:space="preserve">Sankara </w:t>
      </w:r>
      <w:r w:rsidRPr="009E3A67">
        <w:rPr>
          <w:rFonts w:ascii="Times New Roman" w:eastAsia="Calibri" w:hAnsi="Times New Roman" w:cs="Times New Roman"/>
          <w:sz w:val="24"/>
          <w:szCs w:val="24"/>
        </w:rPr>
        <w:t>enfatizou a necessidade da independência econômica na África pós-colonial, promovendo um mercado interno forte através da produção local para fortalecer o continente e garantir dignidade aos africanos em seu próprio território. Seu discurso influente na década de 80 terminou tragicamente com seu assassinato, alegadamente ordenado pela França, destacando as consequências de desafiar interesses externos pela dignidade africana.</w:t>
      </w:r>
    </w:p>
    <w:p w14:paraId="605A9F39" w14:textId="640364C0"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Entre 1957 e 1987, a Europa esteve diretamente envolvida no assassinato de mais de 26 líderes africanos nacionalistas e pan-africanistas, incluindo figuras proeminentes que se opuseram ao neocolonialismo. Estes líderes, foram cruelmente assassinados durante o auge de sua influência política, por defenderem os seus países e uma África livre das ingerências ocidentais.</w:t>
      </w:r>
      <w:r w:rsidRPr="009E3A67">
        <w:rPr>
          <w:rFonts w:ascii="Times New Roman" w:hAnsi="Times New Roman" w:cs="Times New Roman"/>
        </w:rPr>
        <w:t xml:space="preserve"> </w:t>
      </w:r>
      <w:r w:rsidRPr="009E3A67">
        <w:rPr>
          <w:rFonts w:ascii="Times New Roman" w:eastAsia="Calibri" w:hAnsi="Times New Roman" w:cs="Times New Roman"/>
          <w:sz w:val="24"/>
          <w:szCs w:val="24"/>
        </w:rPr>
        <w:t>Como nos mostra Moore (2010</w:t>
      </w:r>
      <w:r w:rsidR="00476063" w:rsidRPr="009E3A67">
        <w:rPr>
          <w:rFonts w:ascii="Times New Roman" w:eastAsia="Calibri" w:hAnsi="Times New Roman" w:cs="Times New Roman"/>
          <w:sz w:val="24"/>
          <w:szCs w:val="24"/>
        </w:rPr>
        <w:t>:</w:t>
      </w:r>
      <w:r w:rsidRPr="009E3A67">
        <w:rPr>
          <w:rFonts w:ascii="Times New Roman" w:eastAsia="Calibri" w:hAnsi="Times New Roman" w:cs="Times New Roman"/>
          <w:sz w:val="24"/>
          <w:szCs w:val="24"/>
        </w:rPr>
        <w:t>49-50),</w:t>
      </w:r>
    </w:p>
    <w:p w14:paraId="0F9B24ED" w14:textId="77777777" w:rsidR="00DA15ED" w:rsidRPr="009E3A67" w:rsidRDefault="00DA15ED" w:rsidP="00DA15ED">
      <w:pPr>
        <w:spacing w:after="0" w:line="360" w:lineRule="auto"/>
        <w:ind w:firstLine="709"/>
        <w:jc w:val="both"/>
        <w:rPr>
          <w:rFonts w:ascii="Times New Roman" w:eastAsia="Calibri" w:hAnsi="Times New Roman" w:cs="Times New Roman"/>
          <w:sz w:val="24"/>
          <w:szCs w:val="24"/>
        </w:rPr>
      </w:pPr>
    </w:p>
    <w:p w14:paraId="4DE45C0F" w14:textId="5118E566" w:rsidR="00DA15ED" w:rsidRPr="009E3A67" w:rsidRDefault="00733347" w:rsidP="00733347">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1</w:t>
      </w:r>
      <w:r w:rsidR="00DA15ED" w:rsidRPr="009E3A67">
        <w:rPr>
          <w:rFonts w:ascii="Times New Roman" w:eastAsia="Calibri" w:hAnsi="Times New Roman" w:cs="Times New Roman"/>
          <w:sz w:val="20"/>
          <w:szCs w:val="20"/>
        </w:rPr>
        <w:t>957 - Dedam Kimathi (Kénya); 1958 - Ruben Um Niobi (Camarões); 1959 - Barthelemy Boganda (R.Centro Africana); 1960 - Felix-Rolant Moumié (Camarões), 1960 - Jean Pierre Finant (Congo); 1961 - Joseph Okito (Congo Kinshasa); 1961 - Maurice Mpolo (Congo Kinshasa); 1961 - Patrice Lumumba (Congo Kinshasa); 1963 - Sylvanus Olympio (Togo); 1965 - Pio Gama Pinto (Quénia); 1965 - Mehdi Ben Barka (Marrocos); 1966 - Ossende Afana (Camarões); 1968 - Pierre Mulele (Congo); 1969 - Eduardo Mondlane (Moçambique); 1971 - Ernest Ouandié (Camarões); 1972 – Ange Diawara Bidie (Congo Brazzaville); 1972 - Jean Baptiste Ikoko (Congo Brazzaville); 1973 – Outel Bono (Chade); 1973 - Amilcar Cabral (Guiné Bissau/Cabo Verde); 1974 - Onkgopotse Tiro (África do Sul);  1975 - Herbert Chitepo (Zâmbia);  1975 - Josiah Kariuki (Quênia); 1976 - Murtala Mohamed (Nigéria); 1977 - Steve Biko (África do sul); 1977 - Modibo Keita (Mali); 1981 - Joe Gqabi (África do Sul); 1982 - Ruth First (África do Sul); 1983 - Attati Mpakati (Zimbábwe); 1986 - Samora Machel (Moçambique);  1987 - Thomas Sankara (Burkina Faso)</w:t>
      </w:r>
      <w:r w:rsidR="00CC085E" w:rsidRPr="009E3A67">
        <w:rPr>
          <w:rFonts w:ascii="Times New Roman" w:eastAsia="Calibri" w:hAnsi="Times New Roman" w:cs="Times New Roman"/>
          <w:sz w:val="20"/>
          <w:szCs w:val="20"/>
        </w:rPr>
        <w:t>.</w:t>
      </w:r>
    </w:p>
    <w:p w14:paraId="4CAC7B9F" w14:textId="77777777" w:rsidR="00DA15ED" w:rsidRPr="009E3A67" w:rsidRDefault="00DA15ED" w:rsidP="00DA15ED">
      <w:pPr>
        <w:spacing w:after="0" w:line="360" w:lineRule="auto"/>
        <w:ind w:left="2268" w:firstLine="709"/>
        <w:jc w:val="both"/>
        <w:rPr>
          <w:rFonts w:ascii="Times New Roman" w:eastAsia="Calibri" w:hAnsi="Times New Roman" w:cs="Times New Roman"/>
          <w:sz w:val="20"/>
          <w:szCs w:val="20"/>
        </w:rPr>
      </w:pPr>
    </w:p>
    <w:p w14:paraId="100F6A3E"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Com os assassinatos dos líderes africanos mencionados acima, que compreendiam o contexto internacional e nutriam um profundo amor pela África (MOORE, 2010), e que buscavam construir uma África para os africanos, conforme afirmava </w:t>
      </w:r>
      <w:r w:rsidRPr="009E3A67">
        <w:rPr>
          <w:rFonts w:ascii="Times New Roman" w:eastAsia="Calibri" w:hAnsi="Times New Roman" w:cs="Times New Roman"/>
          <w:i/>
          <w:iCs/>
          <w:sz w:val="24"/>
          <w:szCs w:val="24"/>
        </w:rPr>
        <w:t>Kwame Nkrumah</w:t>
      </w:r>
      <w:r w:rsidRPr="009E3A67">
        <w:rPr>
          <w:rFonts w:ascii="Times New Roman" w:eastAsia="Calibri" w:hAnsi="Times New Roman" w:cs="Times New Roman"/>
          <w:sz w:val="24"/>
          <w:szCs w:val="24"/>
        </w:rPr>
        <w:t xml:space="preserve"> (1963), a Europa promoveu a ascensão de outros líderes neocolonialistas negros a seu serviço. </w:t>
      </w:r>
    </w:p>
    <w:p w14:paraId="3A6B7A15"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Esses líderes africanos, muitas vezes em conluio com interesses estrangeiros para manter seu poder a qualquer custo, frequentemente concedem recursos minerais estratégicos por valores insignificantes, perpetuando uma forma interna de colonialismo "preto" através da ditadura na África. Isso ocorre devido à atração dos 38 dos 48 minerais mais estratégicos do mundo para investimentos estrangeiros, conforme descrito por Carlos Moore:</w:t>
      </w:r>
    </w:p>
    <w:p w14:paraId="48373BE3" w14:textId="77777777" w:rsidR="00DA15ED" w:rsidRPr="009E3A67" w:rsidRDefault="00DA15ED" w:rsidP="00DA15ED">
      <w:pPr>
        <w:spacing w:after="0" w:line="360" w:lineRule="auto"/>
        <w:ind w:firstLine="708"/>
        <w:jc w:val="both"/>
        <w:rPr>
          <w:rFonts w:ascii="Times New Roman" w:eastAsia="Calibri" w:hAnsi="Times New Roman" w:cs="Times New Roman"/>
          <w:sz w:val="24"/>
          <w:szCs w:val="24"/>
        </w:rPr>
      </w:pPr>
    </w:p>
    <w:p w14:paraId="0A015F84" w14:textId="4D36B88C" w:rsidR="00DA15ED" w:rsidRPr="009E3A67" w:rsidRDefault="00DA15ED" w:rsidP="00733347">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xml:space="preserve">O problema da África continental pode ser resumido em duas palavras: um incomparável </w:t>
      </w:r>
      <w:r w:rsidRPr="009E3A67">
        <w:rPr>
          <w:rFonts w:ascii="Times New Roman" w:eastAsia="Calibri" w:hAnsi="Times New Roman" w:cs="Times New Roman"/>
          <w:i/>
          <w:iCs/>
          <w:sz w:val="20"/>
          <w:szCs w:val="20"/>
        </w:rPr>
        <w:t>monopólio</w:t>
      </w:r>
      <w:r w:rsidRPr="009E3A67">
        <w:rPr>
          <w:rFonts w:ascii="Times New Roman" w:eastAsia="Calibri" w:hAnsi="Times New Roman" w:cs="Times New Roman"/>
          <w:sz w:val="20"/>
          <w:szCs w:val="20"/>
        </w:rPr>
        <w:t xml:space="preserve"> sobre 38 dos 48 minerais do mundo considerados estratégicos e cobiçados pelas grandes potências, por uma parte, e uma incomparável pobreza e debilidade estrutural e militar, por outra, que se vê agravada pela balkanização do continente em 53 estados frágeis e individualmente impotentes. Essas duas realidades convergem para a constituição de uma ameaça permanente que paira sobre o futuro do continente africano (MOORE, 2010</w:t>
      </w:r>
      <w:r w:rsidR="00476063" w:rsidRPr="009E3A67">
        <w:rPr>
          <w:rFonts w:ascii="Times New Roman" w:eastAsia="Calibri" w:hAnsi="Times New Roman" w:cs="Times New Roman"/>
          <w:sz w:val="20"/>
          <w:szCs w:val="20"/>
        </w:rPr>
        <w:t>:</w:t>
      </w:r>
      <w:r w:rsidRPr="009E3A67">
        <w:rPr>
          <w:rFonts w:ascii="Times New Roman" w:eastAsia="Calibri" w:hAnsi="Times New Roman" w:cs="Times New Roman"/>
          <w:sz w:val="20"/>
          <w:szCs w:val="20"/>
        </w:rPr>
        <w:t xml:space="preserve"> 76).</w:t>
      </w:r>
    </w:p>
    <w:p w14:paraId="71B9FB94" w14:textId="77777777" w:rsidR="00DA15ED" w:rsidRPr="009E3A67" w:rsidRDefault="00DA15ED" w:rsidP="00DA15ED">
      <w:pPr>
        <w:spacing w:after="0" w:line="240" w:lineRule="auto"/>
        <w:ind w:left="2268"/>
        <w:jc w:val="both"/>
        <w:rPr>
          <w:rFonts w:ascii="Times New Roman" w:eastAsia="Calibri" w:hAnsi="Times New Roman" w:cs="Times New Roman"/>
          <w:sz w:val="24"/>
          <w:szCs w:val="24"/>
          <w:highlight w:val="yellow"/>
        </w:rPr>
      </w:pPr>
    </w:p>
    <w:p w14:paraId="06F5588D" w14:textId="77777777" w:rsidR="00DA15ED" w:rsidRPr="009E3A67" w:rsidRDefault="00DA15ED" w:rsidP="004C696D">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Moore ainda acrescenta que:</w:t>
      </w:r>
    </w:p>
    <w:p w14:paraId="0D52CF66" w14:textId="77777777" w:rsidR="00DA15ED" w:rsidRPr="009E3A67" w:rsidRDefault="00DA15ED" w:rsidP="00DA15ED">
      <w:pPr>
        <w:spacing w:after="0" w:line="360" w:lineRule="auto"/>
        <w:ind w:firstLine="709"/>
        <w:jc w:val="both"/>
        <w:rPr>
          <w:rFonts w:ascii="Times New Roman" w:eastAsia="Calibri" w:hAnsi="Times New Roman" w:cs="Times New Roman"/>
          <w:sz w:val="24"/>
          <w:szCs w:val="24"/>
        </w:rPr>
      </w:pPr>
    </w:p>
    <w:p w14:paraId="3CEB3C0B" w14:textId="2CDF9709" w:rsidR="00DA15ED" w:rsidRPr="009E3A67" w:rsidRDefault="00DA15ED" w:rsidP="00733347">
      <w:pPr>
        <w:spacing w:after="0" w:line="240" w:lineRule="auto"/>
        <w:ind w:left="2268"/>
        <w:jc w:val="both"/>
        <w:rPr>
          <w:rFonts w:ascii="Times New Roman" w:eastAsia="Calibri" w:hAnsi="Times New Roman" w:cs="Times New Roman"/>
          <w:sz w:val="20"/>
          <w:szCs w:val="20"/>
          <w:highlight w:val="yellow"/>
        </w:rPr>
      </w:pPr>
      <w:r w:rsidRPr="009E3A67">
        <w:rPr>
          <w:rFonts w:ascii="Times New Roman" w:eastAsia="Calibri" w:hAnsi="Times New Roman" w:cs="Times New Roman"/>
          <w:sz w:val="20"/>
          <w:szCs w:val="20"/>
        </w:rPr>
        <w:t xml:space="preserve">As nações do mundo industrializado do Hemisfério Norte focalizam regiões inteiras consideradas como estratégicas em função dos recursos minerais que possuem. O continente africano apresenta características geológicas que não se encontram em outras partes do mundo, de modo tal que, </w:t>
      </w:r>
      <w:r w:rsidRPr="009E3A67">
        <w:rPr>
          <w:rFonts w:ascii="Times New Roman" w:eastAsia="Calibri" w:hAnsi="Times New Roman" w:cs="Times New Roman"/>
          <w:i/>
          <w:iCs/>
          <w:sz w:val="20"/>
          <w:szCs w:val="20"/>
        </w:rPr>
        <w:t>dos 48 minerais considerados estratégicos pelo mundo industrializado, não menos que 38 deles estão ali concentrados.</w:t>
      </w:r>
      <w:r w:rsidRPr="009E3A67">
        <w:rPr>
          <w:rFonts w:ascii="Times New Roman" w:eastAsia="Calibri" w:hAnsi="Times New Roman" w:cs="Times New Roman"/>
          <w:sz w:val="20"/>
          <w:szCs w:val="20"/>
        </w:rPr>
        <w:t xml:space="preserve"> Por isso, a África tem sido denominada por geólogos, como o “escândalo geológico do planeta”. Consideremos, por exemplo, a questão dos diamantes, mineral eminentemente estratégico, indispensável para a indústria e a tecnologia modernas. Sem os diamantes industriais, não existiriam os mísseis, os computadores, os aviões, os carros e toda uma série de produtos da tecnologia moderna (MOORE, 2010</w:t>
      </w:r>
      <w:r w:rsidR="00476063" w:rsidRPr="009E3A67">
        <w:rPr>
          <w:rFonts w:ascii="Times New Roman" w:eastAsia="Calibri" w:hAnsi="Times New Roman" w:cs="Times New Roman"/>
          <w:sz w:val="20"/>
          <w:szCs w:val="20"/>
        </w:rPr>
        <w:t>:</w:t>
      </w:r>
      <w:r w:rsidRPr="009E3A67">
        <w:rPr>
          <w:rFonts w:ascii="Times New Roman" w:eastAsia="Calibri" w:hAnsi="Times New Roman" w:cs="Times New Roman"/>
          <w:sz w:val="20"/>
          <w:szCs w:val="20"/>
        </w:rPr>
        <w:t xml:space="preserve"> 77</w:t>
      </w:r>
      <w:r w:rsidR="0021194E" w:rsidRPr="009E3A67">
        <w:rPr>
          <w:rFonts w:ascii="Times New Roman" w:eastAsia="Calibri" w:hAnsi="Times New Roman" w:cs="Times New Roman"/>
          <w:sz w:val="20"/>
          <w:szCs w:val="20"/>
        </w:rPr>
        <w:t>-</w:t>
      </w:r>
      <w:r w:rsidRPr="009E3A67">
        <w:rPr>
          <w:rFonts w:ascii="Times New Roman" w:eastAsia="Calibri" w:hAnsi="Times New Roman" w:cs="Times New Roman"/>
          <w:sz w:val="20"/>
          <w:szCs w:val="20"/>
        </w:rPr>
        <w:t>78).</w:t>
      </w:r>
    </w:p>
    <w:p w14:paraId="276B507C" w14:textId="77777777" w:rsidR="00DA15ED" w:rsidRPr="009E3A67" w:rsidRDefault="00DA15ED" w:rsidP="00DA15ED">
      <w:pPr>
        <w:spacing w:after="0" w:line="240" w:lineRule="auto"/>
        <w:ind w:left="2268" w:firstLine="709"/>
        <w:jc w:val="both"/>
        <w:rPr>
          <w:rFonts w:ascii="Times New Roman" w:eastAsia="Calibri" w:hAnsi="Times New Roman" w:cs="Times New Roman"/>
          <w:sz w:val="20"/>
          <w:szCs w:val="20"/>
          <w:highlight w:val="yellow"/>
        </w:rPr>
      </w:pPr>
    </w:p>
    <w:p w14:paraId="5AFB5A65"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Devido a esse fenômeno geológico, conforme destacado por Moore (2010), as nações do mundo industrializado do Hemisfério Norte têm focalizado regiões inteiras da África desde a Conferência de Berlim como estratégicas para assegurar o desenvolvimento das tecnologias, tanto na era colonial quanto na contemporaneidade.</w:t>
      </w:r>
    </w:p>
    <w:p w14:paraId="77C7BB1E"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Não é necessário ser um especialista formado em ciências políticas e econômicas nas academias ocidentais para perceber que o subdesenvolvimento africano, devido ao saque de seus recursos minerais estratégicos e à imposição econômica via neocolonialismo, continua a beneficiar mais a Europa e seus aliados em </w:t>
      </w:r>
      <w:r w:rsidR="00733347" w:rsidRPr="009E3A67">
        <w:rPr>
          <w:rFonts w:ascii="Times New Roman" w:eastAsia="Calibri" w:hAnsi="Times New Roman" w:cs="Times New Roman"/>
          <w:sz w:val="24"/>
          <w:szCs w:val="24"/>
        </w:rPr>
        <w:t>detrimento</w:t>
      </w:r>
      <w:r w:rsidRPr="009E3A67">
        <w:rPr>
          <w:rFonts w:ascii="Times New Roman" w:eastAsia="Calibri" w:hAnsi="Times New Roman" w:cs="Times New Roman"/>
          <w:sz w:val="24"/>
          <w:szCs w:val="24"/>
        </w:rPr>
        <w:t xml:space="preserve"> da África. Eles controlam e ditam regras e os preços no mercado financeiro mundial sobre os países africanos. Como observou o economista moçambicano Sérgio Vieira em sua análise na STV Moçambicana, criticando o FMI e o Banco Mundial, disponível no YouTube</w:t>
      </w:r>
      <w:r w:rsidRPr="009E3A67">
        <w:rPr>
          <w:rStyle w:val="Refdenotaderodap"/>
          <w:rFonts w:ascii="Times New Roman" w:eastAsia="Calibri" w:hAnsi="Times New Roman" w:cs="Times New Roman"/>
          <w:sz w:val="24"/>
          <w:szCs w:val="24"/>
        </w:rPr>
        <w:footnoteReference w:id="8"/>
      </w:r>
      <w:r w:rsidRPr="009E3A67">
        <w:rPr>
          <w:rFonts w:ascii="Times New Roman" w:eastAsia="Calibri" w:hAnsi="Times New Roman" w:cs="Times New Roman"/>
          <w:sz w:val="24"/>
          <w:szCs w:val="24"/>
        </w:rPr>
        <w:t>:</w:t>
      </w:r>
    </w:p>
    <w:p w14:paraId="0B247B71" w14:textId="5F98DBC0" w:rsidR="00DA15ED" w:rsidRPr="009E3A67" w:rsidRDefault="00DA15ED" w:rsidP="00733347">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xml:space="preserve">[...] Quanto ao FMI, nada me diz de novo,estou habituado aos senhores de Bretton Woods, [...], o Banco Mundial, desde o fim </w:t>
      </w:r>
      <w:r w:rsidR="00476063" w:rsidRPr="009E3A67">
        <w:rPr>
          <w:rFonts w:ascii="Times New Roman" w:eastAsia="Calibri" w:hAnsi="Times New Roman" w:cs="Times New Roman"/>
          <w:sz w:val="20"/>
          <w:szCs w:val="20"/>
        </w:rPr>
        <w:t>da segunda guerra mundial</w:t>
      </w:r>
      <w:r w:rsidRPr="009E3A67">
        <w:rPr>
          <w:rFonts w:ascii="Times New Roman" w:eastAsia="Calibri" w:hAnsi="Times New Roman" w:cs="Times New Roman"/>
          <w:sz w:val="20"/>
          <w:szCs w:val="20"/>
        </w:rPr>
        <w:t xml:space="preserve"> o presidente tem que ser americano, FMI o diretor geral tem que ser francês, eu tive alguns choques com eles, eu me lembro quando veio cá um diretor geral do FMI, “Dominique Strauss- Kahn, que acabou e conseguiu acabar com a indústria do cajú em Moçambique, e eu disse o que a gente vai fazer dos operários? Ele disse, </w:t>
      </w:r>
      <w:r w:rsidR="004C696D" w:rsidRPr="009E3A67">
        <w:rPr>
          <w:rFonts w:ascii="Times New Roman" w:eastAsia="Calibri" w:hAnsi="Times New Roman" w:cs="Times New Roman"/>
          <w:sz w:val="20"/>
          <w:szCs w:val="20"/>
        </w:rPr>
        <w:t>wah!</w:t>
      </w:r>
      <w:r w:rsidRPr="009E3A67">
        <w:rPr>
          <w:rFonts w:ascii="Times New Roman" w:eastAsia="Calibri" w:hAnsi="Times New Roman" w:cs="Times New Roman"/>
          <w:sz w:val="20"/>
          <w:szCs w:val="20"/>
        </w:rPr>
        <w:t xml:space="preserve"> podemos dar um fundo para convertermos em artesãos. Eu disse, por que que não fazes isso em França? Os senhores do FMI e do Banco Mundial, devo dizer que quando as nações unidas condenavam, quando toda a gente condenava o apartheid, apoiavam o apartheid. Qual confiança eu posso ter neles? Eles apoiaram o apartheid, incluindo o que impuseram de medidas contra Moçambique, era para facilitar as indústrias e os negócios sul-africanos. Assim morreu a Comata que fazia vagões, morreu o Infloma, morreu a indústria têxtil, a Mabor que ganhava prêmios no mundo inteiro pela qualidade dos seus pnéus, graças ao FMI e ao Banco Mundial. Muito obrigado, não têm nada para nos ensinar. [...] De modo que, tenho muitas dificuldades de ter confiança no FMI e no Banco Mundial pelas experiências passadas que nós tivemos, e vejo vários países a quem eles querem apertar a garganta, não é só Moçambique, vários países, mesmo na Europa, em contrapartida, nunca apertaram a garganta ao maior devedor do mundo, que são os Estados Unidos, não apertaram a garganta a grande banca dos Estados Unidos, Inglaterra, da França,[...], agora que confiança eu posso ter dessa gente, vamos lá, sejamos honestos? Não é o FMI, que nos vai salvar, nós é quem temos que nos salvar, trabalhando, e castigando e punindo quem prevarica e voltando a ser exemplo que éramos, uma pátria, uma terra de gente honrada.</w:t>
      </w:r>
    </w:p>
    <w:p w14:paraId="11A04611" w14:textId="77777777" w:rsidR="00DA15ED" w:rsidRDefault="00DA15ED" w:rsidP="00DA15ED">
      <w:pPr>
        <w:spacing w:after="0" w:line="240" w:lineRule="auto"/>
        <w:ind w:left="2268" w:firstLine="709"/>
        <w:jc w:val="both"/>
        <w:rPr>
          <w:rFonts w:ascii="Times New Roman" w:eastAsia="Calibri" w:hAnsi="Times New Roman" w:cs="Times New Roman"/>
          <w:color w:val="FF0000"/>
          <w:sz w:val="20"/>
          <w:szCs w:val="20"/>
        </w:rPr>
      </w:pPr>
    </w:p>
    <w:p w14:paraId="60756311" w14:textId="77777777" w:rsidR="0003001E" w:rsidRPr="009E3A67" w:rsidRDefault="0003001E" w:rsidP="0003001E">
      <w:pPr>
        <w:spacing w:after="0" w:line="240" w:lineRule="auto"/>
        <w:ind w:left="2268" w:firstLine="709"/>
        <w:jc w:val="both"/>
        <w:rPr>
          <w:rFonts w:ascii="Times New Roman" w:eastAsia="Calibri" w:hAnsi="Times New Roman" w:cs="Times New Roman"/>
          <w:color w:val="FF0000"/>
          <w:sz w:val="20"/>
          <w:szCs w:val="20"/>
        </w:rPr>
      </w:pPr>
    </w:p>
    <w:p w14:paraId="4CACAD80" w14:textId="13C853F6"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Observamos que não foi apenas o povo moçambicano que enfrentou estagnação econômica e o desemprego em massa após permitir a interferência do FMI e Banco Mundial nos seus problem</w:t>
      </w:r>
      <w:r w:rsidR="00070A67" w:rsidRPr="009E3A67">
        <w:rPr>
          <w:rFonts w:ascii="Times New Roman" w:eastAsia="Calibri" w:hAnsi="Times New Roman" w:cs="Times New Roman"/>
          <w:sz w:val="24"/>
          <w:szCs w:val="24"/>
        </w:rPr>
        <w:t>a</w:t>
      </w:r>
      <w:r w:rsidRPr="009E3A67">
        <w:rPr>
          <w:rFonts w:ascii="Times New Roman" w:eastAsia="Calibri" w:hAnsi="Times New Roman" w:cs="Times New Roman"/>
          <w:sz w:val="24"/>
          <w:szCs w:val="24"/>
        </w:rPr>
        <w:t xml:space="preserve">s internos, o mesmo ocorreu em Angola, Burkina Faso e possivelmente em toda a África negra. </w:t>
      </w:r>
    </w:p>
    <w:p w14:paraId="1788F19A"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Em Angola, especificamente, após a independência em 1975, as antigas indústrias que operavam durante o regime colonial português entraram em declínio, resultando em altos níveis de desemprego. Isso resultou em uma mudança significativa na ocupação da maioria da população, que antes trabalhava nessas indústrias, agora atuando no comércio informal como quitandeiras</w:t>
      </w:r>
      <w:r w:rsidRPr="009E3A67">
        <w:rPr>
          <w:rStyle w:val="Refdenotaderodap"/>
          <w:rFonts w:ascii="Times New Roman" w:eastAsia="Calibri" w:hAnsi="Times New Roman" w:cs="Times New Roman"/>
          <w:sz w:val="24"/>
          <w:szCs w:val="24"/>
        </w:rPr>
        <w:footnoteReference w:id="9"/>
      </w:r>
      <w:r w:rsidRPr="009E3A67">
        <w:rPr>
          <w:rFonts w:ascii="Times New Roman" w:eastAsia="Calibri" w:hAnsi="Times New Roman" w:cs="Times New Roman"/>
          <w:sz w:val="24"/>
          <w:szCs w:val="24"/>
        </w:rPr>
        <w:t xml:space="preserve"> e zungueiros/as</w:t>
      </w:r>
      <w:r w:rsidRPr="009E3A67">
        <w:rPr>
          <w:rStyle w:val="Refdenotaderodap"/>
          <w:rFonts w:ascii="Times New Roman" w:eastAsia="Calibri" w:hAnsi="Times New Roman" w:cs="Times New Roman"/>
          <w:sz w:val="24"/>
          <w:szCs w:val="24"/>
        </w:rPr>
        <w:footnoteReference w:id="10"/>
      </w:r>
      <w:r w:rsidRPr="009E3A67">
        <w:rPr>
          <w:rFonts w:ascii="Times New Roman" w:eastAsia="Calibri" w:hAnsi="Times New Roman" w:cs="Times New Roman"/>
          <w:sz w:val="24"/>
          <w:szCs w:val="24"/>
        </w:rPr>
        <w:t xml:space="preserve"> no antigo maior mercado a céu aberto em África, conhecido como Roque Santeiro no município do Sambizanga no coração da capital do país. Essa transição aumentou consideravelmente a vulnerabilidade das famílias angolanas (CACUTO, 2001).</w:t>
      </w:r>
    </w:p>
    <w:p w14:paraId="7BA95C36"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A influência do neocolonialismo europeu em África é tão evidente que mesmo com a criação da Organização da União Africana em 1963 e de organizações políticas e econômicas regionais subsequentes, como na África Central, Austral e Ocidental, o continente ainda enfrenta dificuldades significativas em oferecer respostas eficazes aos problemas políticos e econômicos locais. Na África Austral, por exemplo, organizações como a </w:t>
      </w:r>
      <w:r w:rsidR="00733347" w:rsidRPr="009E3A67">
        <w:rPr>
          <w:rFonts w:ascii="Times New Roman" w:eastAsia="Calibri" w:hAnsi="Times New Roman" w:cs="Times New Roman"/>
          <w:sz w:val="24"/>
          <w:szCs w:val="24"/>
        </w:rPr>
        <w:t>SADC (</w:t>
      </w:r>
      <w:r w:rsidRPr="009E3A67">
        <w:rPr>
          <w:rFonts w:ascii="Times New Roman" w:eastAsia="Calibri" w:hAnsi="Times New Roman" w:cs="Times New Roman"/>
          <w:sz w:val="24"/>
          <w:szCs w:val="24"/>
        </w:rPr>
        <w:t xml:space="preserve">Comunidade para o Desenvolvimento da África Austral), estabelecida em 1992 para promover relações comerciais entre seus 14 países membros, assim como os Grandes Lagos e os PALOP (Países Africanos de Língua Oficial Portuguesa), ainda dependem significativamente do consentimento do Ocidente para resolver conflitos internos de maneira autônoma. </w:t>
      </w:r>
    </w:p>
    <w:p w14:paraId="2B437775"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Os exemplos notáveis na região Austral, são casos de eleições presidenciais, como ocorreu nas eleições de Angola em 2022. A oposição saiu vitoriosa, mas o então presidente João Lourenço, acusado de ser um impostor, ordenou a mobilização de armamento militar nas ruas para reprimir possíveis revoltas populares. Dois anos depois, </w:t>
      </w:r>
      <w:r w:rsidRPr="009E3A67">
        <w:rPr>
          <w:rFonts w:ascii="Times New Roman" w:eastAsia="Calibri" w:hAnsi="Times New Roman" w:cs="Times New Roman"/>
          <w:i/>
          <w:iCs/>
          <w:sz w:val="24"/>
          <w:szCs w:val="24"/>
        </w:rPr>
        <w:t>Abel Chivukuvuku</w:t>
      </w:r>
      <w:r w:rsidRPr="009E3A67">
        <w:rPr>
          <w:rFonts w:ascii="Times New Roman" w:eastAsia="Calibri" w:hAnsi="Times New Roman" w:cs="Times New Roman"/>
          <w:sz w:val="24"/>
          <w:szCs w:val="24"/>
        </w:rPr>
        <w:t xml:space="preserve">, um dos líderes da oposição na coligação política FPU (Frente Unida Patriótica), revelou publicamente no programa Grande Entrevista África em Portugal, disponível no canal </w:t>
      </w:r>
      <w:r w:rsidRPr="009E3A67">
        <w:rPr>
          <w:rFonts w:ascii="Times New Roman" w:eastAsia="Calibri" w:hAnsi="Times New Roman" w:cs="Times New Roman"/>
          <w:i/>
          <w:iCs/>
          <w:sz w:val="24"/>
          <w:szCs w:val="24"/>
        </w:rPr>
        <w:t>BEM HAJA - Construindo Gigantes</w:t>
      </w:r>
      <w:r w:rsidRPr="009E3A67">
        <w:rPr>
          <w:rFonts w:ascii="Times New Roman" w:eastAsia="Calibri" w:hAnsi="Times New Roman" w:cs="Times New Roman"/>
          <w:sz w:val="24"/>
          <w:szCs w:val="24"/>
        </w:rPr>
        <w:t xml:space="preserve"> no YouTube</w:t>
      </w:r>
      <w:r w:rsidRPr="009E3A67">
        <w:rPr>
          <w:rStyle w:val="Refdenotaderodap"/>
          <w:rFonts w:ascii="Times New Roman" w:eastAsia="Calibri" w:hAnsi="Times New Roman" w:cs="Times New Roman"/>
          <w:sz w:val="24"/>
          <w:szCs w:val="24"/>
        </w:rPr>
        <w:footnoteReference w:id="11"/>
      </w:r>
      <w:r w:rsidRPr="009E3A67">
        <w:rPr>
          <w:rFonts w:ascii="Times New Roman" w:eastAsia="Calibri" w:hAnsi="Times New Roman" w:cs="Times New Roman"/>
          <w:sz w:val="24"/>
          <w:szCs w:val="24"/>
        </w:rPr>
        <w:t xml:space="preserve">, que a decisão de aceitar a vitória eleitoral foi devido à "enorme pressão internacional". </w:t>
      </w:r>
    </w:p>
    <w:p w14:paraId="564A9673" w14:textId="77777777" w:rsidR="00DA15ED" w:rsidRPr="009E3A67" w:rsidRDefault="00DA15ED" w:rsidP="00733347">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Essa pressão pareceu ter como objetivo evitar a derrota do MPLA, o partido-estado que governa Angola desde 1975, devido aos interesses internos nas riquezas do país; outros exemplos são as tensões políticas entre as tropas militares da República Democrática do Congo e as forças armadas M23 do Rwanda</w:t>
      </w:r>
      <w:r w:rsidRPr="009E3A67">
        <w:rPr>
          <w:rStyle w:val="Refdenotaderodap"/>
          <w:rFonts w:ascii="Times New Roman" w:eastAsia="Calibri" w:hAnsi="Times New Roman" w:cs="Times New Roman"/>
          <w:sz w:val="24"/>
          <w:szCs w:val="24"/>
        </w:rPr>
        <w:footnoteReference w:id="12"/>
      </w:r>
      <w:r w:rsidRPr="009E3A67">
        <w:rPr>
          <w:rFonts w:ascii="Times New Roman" w:eastAsia="Calibri" w:hAnsi="Times New Roman" w:cs="Times New Roman"/>
          <w:sz w:val="24"/>
          <w:szCs w:val="24"/>
        </w:rPr>
        <w:t>, na província de Kivu, especificamente na região de Goma, que faz fronteira com Uganda; e a guerra em Cabo Delgado</w:t>
      </w:r>
      <w:r w:rsidRPr="009E3A67">
        <w:rPr>
          <w:rStyle w:val="Refdenotaderodap"/>
          <w:rFonts w:ascii="Times New Roman" w:eastAsia="Calibri" w:hAnsi="Times New Roman" w:cs="Times New Roman"/>
          <w:sz w:val="24"/>
          <w:szCs w:val="24"/>
        </w:rPr>
        <w:footnoteReference w:id="13"/>
      </w:r>
      <w:r w:rsidRPr="009E3A67">
        <w:rPr>
          <w:rFonts w:ascii="Times New Roman" w:eastAsia="Calibri" w:hAnsi="Times New Roman" w:cs="Times New Roman"/>
          <w:sz w:val="24"/>
          <w:szCs w:val="24"/>
        </w:rPr>
        <w:t>,</w:t>
      </w:r>
      <w:r w:rsidRPr="009E3A67">
        <w:rPr>
          <w:rFonts w:ascii="Times New Roman" w:hAnsi="Times New Roman" w:cs="Times New Roman"/>
        </w:rPr>
        <w:t xml:space="preserve"> </w:t>
      </w:r>
      <w:r w:rsidRPr="009E3A67">
        <w:rPr>
          <w:rFonts w:ascii="Times New Roman" w:eastAsia="Calibri" w:hAnsi="Times New Roman" w:cs="Times New Roman"/>
          <w:sz w:val="24"/>
          <w:szCs w:val="24"/>
        </w:rPr>
        <w:t xml:space="preserve">que assola Moçambique desde 2021 até o momento presente. </w:t>
      </w:r>
    </w:p>
    <w:p w14:paraId="067A968B" w14:textId="77777777" w:rsidR="00DA15ED" w:rsidRPr="009E3A67" w:rsidRDefault="00DA15ED" w:rsidP="00F122DC">
      <w:pPr>
        <w:spacing w:after="0" w:line="360" w:lineRule="auto"/>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Outro caso ocorre na África centro-Ocidental, apesar da presença da CEDEAO</w:t>
      </w:r>
      <w:r w:rsidRPr="009E3A67">
        <w:rPr>
          <w:rStyle w:val="Refdenotaderodap"/>
          <w:rFonts w:ascii="Times New Roman" w:eastAsia="Calibri" w:hAnsi="Times New Roman" w:cs="Times New Roman"/>
          <w:sz w:val="24"/>
          <w:szCs w:val="24"/>
        </w:rPr>
        <w:footnoteReference w:id="14"/>
      </w:r>
      <w:r w:rsidRPr="009E3A67">
        <w:rPr>
          <w:rFonts w:ascii="Times New Roman" w:eastAsia="Calibri" w:hAnsi="Times New Roman" w:cs="Times New Roman"/>
          <w:sz w:val="24"/>
          <w:szCs w:val="24"/>
        </w:rPr>
        <w:t xml:space="preserve">, uma organização de integração regional criada em 1975 em Lagos (Nigéria), que abrange quinze países e visa a integração econômica, o comércio regional e a cooperação política. Conforme observado pelo camaronês </w:t>
      </w:r>
      <w:r w:rsidRPr="009E3A67">
        <w:rPr>
          <w:rFonts w:ascii="Times New Roman" w:eastAsia="Calibri" w:hAnsi="Times New Roman" w:cs="Times New Roman"/>
          <w:i/>
          <w:iCs/>
          <w:sz w:val="24"/>
          <w:szCs w:val="24"/>
        </w:rPr>
        <w:t>Danyel Tom</w:t>
      </w:r>
      <w:r w:rsidRPr="009E3A67">
        <w:rPr>
          <w:rFonts w:ascii="Times New Roman" w:eastAsia="Calibri" w:hAnsi="Times New Roman" w:cs="Times New Roman"/>
          <w:sz w:val="24"/>
          <w:szCs w:val="24"/>
        </w:rPr>
        <w:t>, a França ainda persiste em interferir nos problemas políticos e econômicos de suas antigas colônias por meio da rede Foccart:</w:t>
      </w:r>
    </w:p>
    <w:p w14:paraId="27EE0107" w14:textId="77777777" w:rsidR="00DA15ED" w:rsidRPr="009E3A67" w:rsidRDefault="00DA15ED" w:rsidP="00DA15ED">
      <w:pPr>
        <w:spacing w:after="0" w:line="360" w:lineRule="auto"/>
        <w:ind w:firstLine="709"/>
        <w:jc w:val="both"/>
        <w:rPr>
          <w:rFonts w:ascii="Times New Roman" w:eastAsia="Calibri" w:hAnsi="Times New Roman" w:cs="Times New Roman"/>
          <w:sz w:val="24"/>
          <w:szCs w:val="24"/>
          <w:highlight w:val="yellow"/>
        </w:rPr>
      </w:pPr>
    </w:p>
    <w:p w14:paraId="70AA3BA9" w14:textId="6286B173" w:rsidR="00DA15ED" w:rsidRPr="009E3A67" w:rsidRDefault="00DA15ED" w:rsidP="00733347">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xml:space="preserve">[...] O autor atribui a criação desta nebulosa a Charles De Gaulle que, ao conceder a independência às colónias francesas em África em 1960, confiou ao mesmo tempo a Jacques Foccart, responsável da Unidade Africana no Palácio do Eliseu, o cuidado de estabelecer redes de relações privilegiadas entre a França e os chefes de Estado «amigos» da França. </w:t>
      </w:r>
      <w:r w:rsidR="00733347" w:rsidRPr="009E3A67">
        <w:rPr>
          <w:rFonts w:ascii="Times New Roman" w:eastAsia="Calibri" w:hAnsi="Times New Roman" w:cs="Times New Roman"/>
          <w:sz w:val="20"/>
          <w:szCs w:val="20"/>
        </w:rPr>
        <w:t>Essas redes</w:t>
      </w:r>
      <w:r w:rsidRPr="009E3A67">
        <w:rPr>
          <w:rFonts w:ascii="Times New Roman" w:eastAsia="Calibri" w:hAnsi="Times New Roman" w:cs="Times New Roman"/>
          <w:sz w:val="20"/>
          <w:szCs w:val="20"/>
        </w:rPr>
        <w:t xml:space="preserve"> são conhecidas como « redes Foccart » (TOM, 2015</w:t>
      </w:r>
      <w:r w:rsidR="00476063" w:rsidRPr="009E3A67">
        <w:rPr>
          <w:rFonts w:ascii="Times New Roman" w:eastAsia="Calibri" w:hAnsi="Times New Roman" w:cs="Times New Roman"/>
          <w:sz w:val="20"/>
          <w:szCs w:val="20"/>
        </w:rPr>
        <w:t>:</w:t>
      </w:r>
      <w:r w:rsidRPr="009E3A67">
        <w:rPr>
          <w:rFonts w:ascii="Times New Roman" w:eastAsia="Calibri" w:hAnsi="Times New Roman" w:cs="Times New Roman"/>
          <w:sz w:val="20"/>
          <w:szCs w:val="20"/>
        </w:rPr>
        <w:t xml:space="preserve"> 48).</w:t>
      </w:r>
    </w:p>
    <w:p w14:paraId="4DBFC598" w14:textId="77777777" w:rsidR="00DA15ED" w:rsidRPr="009E3A67" w:rsidRDefault="00DA15ED" w:rsidP="00DA15ED">
      <w:pPr>
        <w:spacing w:after="0" w:line="240" w:lineRule="auto"/>
        <w:ind w:left="2268" w:firstLine="709"/>
        <w:jc w:val="both"/>
        <w:rPr>
          <w:rFonts w:ascii="Times New Roman" w:eastAsia="Calibri" w:hAnsi="Times New Roman" w:cs="Times New Roman"/>
          <w:sz w:val="24"/>
          <w:szCs w:val="24"/>
        </w:rPr>
      </w:pPr>
    </w:p>
    <w:p w14:paraId="510C3428" w14:textId="77777777" w:rsidR="00DA15ED" w:rsidRPr="009E3A67" w:rsidRDefault="00DA15ED" w:rsidP="00733347">
      <w:pPr>
        <w:spacing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i/>
          <w:iCs/>
          <w:sz w:val="24"/>
          <w:szCs w:val="24"/>
        </w:rPr>
        <w:t>Tom</w:t>
      </w:r>
      <w:r w:rsidRPr="009E3A67">
        <w:rPr>
          <w:rFonts w:ascii="Times New Roman" w:eastAsia="Calibri" w:hAnsi="Times New Roman" w:cs="Times New Roman"/>
          <w:sz w:val="24"/>
          <w:szCs w:val="24"/>
        </w:rPr>
        <w:t xml:space="preserve"> ainda acrescenta que:</w:t>
      </w:r>
    </w:p>
    <w:p w14:paraId="5C39B780" w14:textId="485330EC" w:rsidR="00DA15ED" w:rsidRPr="009E3A67" w:rsidRDefault="00DA15ED" w:rsidP="002A4418">
      <w:pPr>
        <w:spacing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No caso dos Camarões, a acção da França irá resultar, antes da « independendência », na neutralização ilegal da União das Populações dos Camarões (UPC), proibida por decreto do Estado francês do dia 13 de Julho de 1955, na sequência dos acontecimentos de Maio de 1955, em Douala, Yaounde, Mbanga, Loum, Nkongsamba, Eseka, Edea, etc., onde se deram massacres de civis por parte dos colonos; em seguida, pelo assassinato do carismático líder da UPC, Ruben Um Nyobe, em 1958, pelos franceses, e uma série de actos criminosos que vão continuar depois da « independência ». O exame minucioso destes factos vai ser feito mais tarde (TOM, 2015</w:t>
      </w:r>
      <w:r w:rsidR="00476063" w:rsidRPr="009E3A67">
        <w:rPr>
          <w:rFonts w:ascii="Times New Roman" w:eastAsia="Calibri" w:hAnsi="Times New Roman" w:cs="Times New Roman"/>
          <w:sz w:val="20"/>
          <w:szCs w:val="20"/>
        </w:rPr>
        <w:t>:</w:t>
      </w:r>
      <w:r w:rsidRPr="009E3A67">
        <w:rPr>
          <w:rFonts w:ascii="Times New Roman" w:eastAsia="Calibri" w:hAnsi="Times New Roman" w:cs="Times New Roman"/>
          <w:sz w:val="20"/>
          <w:szCs w:val="20"/>
        </w:rPr>
        <w:t xml:space="preserve"> 48-49).</w:t>
      </w:r>
    </w:p>
    <w:p w14:paraId="2D418297" w14:textId="77777777" w:rsidR="00DA15ED" w:rsidRPr="009E3A67" w:rsidRDefault="00DA15ED" w:rsidP="00DA15ED">
      <w:pPr>
        <w:spacing w:after="0" w:line="240" w:lineRule="auto"/>
        <w:ind w:left="2268"/>
        <w:jc w:val="both"/>
        <w:rPr>
          <w:rFonts w:ascii="Times New Roman" w:eastAsia="Calibri" w:hAnsi="Times New Roman" w:cs="Times New Roman"/>
          <w:sz w:val="24"/>
          <w:szCs w:val="24"/>
          <w:highlight w:val="yellow"/>
        </w:rPr>
      </w:pPr>
    </w:p>
    <w:p w14:paraId="453BB392"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Esse contencioso histórico evidencia claramente como o uso da força foi o instrumento principal para a implementação do neocolonialismo europeu, especialmente destacando-se a influência francesa sobre a região da África Ocidental, marcada por golpes excessivos e assassinatos de lideranças africanas.</w:t>
      </w:r>
    </w:p>
    <w:p w14:paraId="1E64C447"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Sem dúvida, após a década de 80, é inegável que a Europa e seus aliados do Norte Global mantêm um controle significativo sobre a África. Isso é evidenciado pelos assassinatos recentes de figuras proeminentes na África contemporânea, </w:t>
      </w:r>
      <w:r w:rsidRPr="009E3A67">
        <w:rPr>
          <w:rFonts w:ascii="Times New Roman" w:eastAsia="Calibri" w:hAnsi="Times New Roman" w:cs="Times New Roman"/>
          <w:i/>
          <w:iCs/>
          <w:sz w:val="24"/>
          <w:szCs w:val="24"/>
        </w:rPr>
        <w:t>como Muammar Gaddafi</w:t>
      </w:r>
      <w:r w:rsidRPr="009E3A67">
        <w:rPr>
          <w:rFonts w:ascii="Times New Roman" w:eastAsia="Calibri" w:hAnsi="Times New Roman" w:cs="Times New Roman"/>
          <w:sz w:val="24"/>
          <w:szCs w:val="24"/>
        </w:rPr>
        <w:t xml:space="preserve"> em 2011, que advogava pela criação urgente de uma moeda africana, pela livre circulação econômica entre os países membros da União Africana (UA) e por uma verdadeira agenda africana que protegesse os interesses africanos no cenário econômico global, e </w:t>
      </w:r>
      <w:r w:rsidRPr="009E3A67">
        <w:rPr>
          <w:rFonts w:ascii="Times New Roman" w:eastAsia="Calibri" w:hAnsi="Times New Roman" w:cs="Times New Roman"/>
          <w:i/>
          <w:iCs/>
          <w:sz w:val="24"/>
          <w:szCs w:val="24"/>
        </w:rPr>
        <w:t>John Pombe Magufuli</w:t>
      </w:r>
      <w:r w:rsidRPr="009E3A67">
        <w:rPr>
          <w:rFonts w:ascii="Times New Roman" w:eastAsia="Calibri" w:hAnsi="Times New Roman" w:cs="Times New Roman"/>
          <w:sz w:val="24"/>
          <w:szCs w:val="24"/>
        </w:rPr>
        <w:t xml:space="preserve"> em 2021</w:t>
      </w:r>
      <w:r w:rsidRPr="009E3A67">
        <w:rPr>
          <w:rFonts w:ascii="Times New Roman" w:eastAsia="Calibri" w:hAnsi="Times New Roman" w:cs="Times New Roman"/>
          <w:i/>
          <w:iCs/>
          <w:sz w:val="24"/>
          <w:szCs w:val="24"/>
        </w:rPr>
        <w:t>. Magufuli</w:t>
      </w:r>
      <w:r w:rsidRPr="009E3A67">
        <w:rPr>
          <w:rFonts w:ascii="Times New Roman" w:eastAsia="Calibri" w:hAnsi="Times New Roman" w:cs="Times New Roman"/>
          <w:sz w:val="24"/>
          <w:szCs w:val="24"/>
        </w:rPr>
        <w:t xml:space="preserve">, o último insurgente panafricanista da geração de 1960, em particular, defendia uma África autônoma e livre das interferências </w:t>
      </w:r>
      <w:r w:rsidR="002A4418" w:rsidRPr="009E3A67">
        <w:rPr>
          <w:rFonts w:ascii="Times New Roman" w:eastAsia="Calibri" w:hAnsi="Times New Roman" w:cs="Times New Roman"/>
          <w:sz w:val="24"/>
          <w:szCs w:val="24"/>
        </w:rPr>
        <w:t>ocidentais...</w:t>
      </w:r>
      <w:r w:rsidRPr="009E3A67">
        <w:rPr>
          <w:rFonts w:ascii="Times New Roman" w:eastAsia="Calibri" w:hAnsi="Times New Roman" w:cs="Times New Roman"/>
          <w:sz w:val="24"/>
          <w:szCs w:val="24"/>
        </w:rPr>
        <w:t xml:space="preserve"> Em seu último discurso em </w:t>
      </w:r>
      <w:r w:rsidRPr="009E3A67">
        <w:rPr>
          <w:rFonts w:ascii="Times New Roman" w:eastAsia="Calibri" w:hAnsi="Times New Roman" w:cs="Times New Roman"/>
          <w:i/>
          <w:iCs/>
          <w:sz w:val="24"/>
          <w:szCs w:val="24"/>
        </w:rPr>
        <w:t>Swahíli,</w:t>
      </w:r>
      <w:r w:rsidRPr="009E3A67">
        <w:rPr>
          <w:rFonts w:ascii="Times New Roman" w:eastAsia="Calibri" w:hAnsi="Times New Roman" w:cs="Times New Roman"/>
          <w:sz w:val="24"/>
          <w:szCs w:val="24"/>
        </w:rPr>
        <w:t xml:space="preserve"> disponível no canal </w:t>
      </w:r>
      <w:r w:rsidRPr="009E3A67">
        <w:rPr>
          <w:rFonts w:ascii="Times New Roman" w:eastAsia="Calibri" w:hAnsi="Times New Roman" w:cs="Times New Roman"/>
          <w:i/>
          <w:iCs/>
          <w:sz w:val="24"/>
          <w:szCs w:val="24"/>
        </w:rPr>
        <w:t>Kenya Digital News</w:t>
      </w:r>
      <w:r w:rsidRPr="009E3A67">
        <w:rPr>
          <w:rFonts w:ascii="Times New Roman" w:eastAsia="Calibri" w:hAnsi="Times New Roman" w:cs="Times New Roman"/>
          <w:sz w:val="24"/>
          <w:szCs w:val="24"/>
        </w:rPr>
        <w:t xml:space="preserve"> no YouTube</w:t>
      </w:r>
      <w:r w:rsidRPr="009E3A67">
        <w:rPr>
          <w:rStyle w:val="Refdenotaderodap"/>
          <w:rFonts w:ascii="Times New Roman" w:eastAsia="Calibri" w:hAnsi="Times New Roman" w:cs="Times New Roman"/>
          <w:sz w:val="24"/>
          <w:szCs w:val="24"/>
        </w:rPr>
        <w:footnoteReference w:id="15"/>
      </w:r>
      <w:r w:rsidRPr="009E3A67">
        <w:rPr>
          <w:rFonts w:ascii="Times New Roman" w:eastAsia="Calibri" w:hAnsi="Times New Roman" w:cs="Times New Roman"/>
          <w:sz w:val="24"/>
          <w:szCs w:val="24"/>
        </w:rPr>
        <w:t>, criticou severamente a visão distorcida e faminta que o mundo tem sobre o continente:</w:t>
      </w:r>
    </w:p>
    <w:p w14:paraId="1ACAA246" w14:textId="77777777" w:rsidR="002A4418" w:rsidRPr="009E3A67" w:rsidRDefault="002A4418" w:rsidP="002A4418">
      <w:pPr>
        <w:spacing w:after="0" w:line="240" w:lineRule="auto"/>
        <w:ind w:left="2268"/>
        <w:jc w:val="both"/>
        <w:rPr>
          <w:rFonts w:ascii="Times New Roman" w:eastAsia="Calibri" w:hAnsi="Times New Roman" w:cs="Times New Roman"/>
          <w:sz w:val="20"/>
          <w:szCs w:val="20"/>
        </w:rPr>
      </w:pPr>
    </w:p>
    <w:p w14:paraId="6AC02008" w14:textId="62025BA6" w:rsidR="00DA15ED" w:rsidRPr="009E3A67" w:rsidRDefault="00DA15ED" w:rsidP="002A4418">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Devemos nos recusar a ser chamados de mendigos, a África é tão rica [...]</w:t>
      </w:r>
      <w:r w:rsidR="00273C3B" w:rsidRPr="009E3A67">
        <w:rPr>
          <w:rFonts w:ascii="Times New Roman" w:eastAsia="Calibri" w:hAnsi="Times New Roman" w:cs="Times New Roman"/>
          <w:sz w:val="20"/>
          <w:szCs w:val="20"/>
        </w:rPr>
        <w:t>.</w:t>
      </w:r>
      <w:r w:rsidRPr="009E3A67">
        <w:rPr>
          <w:rFonts w:ascii="Times New Roman" w:eastAsia="Calibri" w:hAnsi="Times New Roman" w:cs="Times New Roman"/>
          <w:sz w:val="20"/>
          <w:szCs w:val="20"/>
        </w:rPr>
        <w:t xml:space="preserve"> Não somos mendigos, somos doadores, exceto que damos sem saber. Com os nossos buracos vazios, eles usaram o dinheiro obtidos e saqueando os recursos dos nossos países para construir suas economias e em troca, eles nos deram centavos dizendo que são os doadores. Nós somos os doadores. Temos que dizer basta, sob minha administração mostrarei tolerância zero a qualquer exploração pelos imperialistas, podemos construir nossa economia sem depender de chamados doadores.</w:t>
      </w:r>
    </w:p>
    <w:p w14:paraId="6799D37B" w14:textId="77777777" w:rsidR="00DA15ED" w:rsidRPr="009E3A67" w:rsidRDefault="00DA15ED" w:rsidP="00DA15ED">
      <w:pPr>
        <w:spacing w:after="0" w:line="240" w:lineRule="auto"/>
        <w:ind w:left="2268" w:firstLine="709"/>
        <w:jc w:val="both"/>
        <w:rPr>
          <w:rFonts w:ascii="Times New Roman" w:eastAsia="Calibri" w:hAnsi="Times New Roman" w:cs="Times New Roman"/>
          <w:sz w:val="20"/>
          <w:szCs w:val="20"/>
        </w:rPr>
      </w:pPr>
    </w:p>
    <w:p w14:paraId="13530A33"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Após esse discurso em que </w:t>
      </w:r>
      <w:r w:rsidRPr="009E3A67">
        <w:rPr>
          <w:rFonts w:ascii="Times New Roman" w:eastAsia="Calibri" w:hAnsi="Times New Roman" w:cs="Times New Roman"/>
          <w:i/>
          <w:iCs/>
          <w:sz w:val="24"/>
          <w:szCs w:val="24"/>
        </w:rPr>
        <w:t>Magufuli</w:t>
      </w:r>
      <w:r w:rsidRPr="009E3A67">
        <w:rPr>
          <w:rFonts w:ascii="Times New Roman" w:eastAsia="Calibri" w:hAnsi="Times New Roman" w:cs="Times New Roman"/>
          <w:sz w:val="24"/>
          <w:szCs w:val="24"/>
        </w:rPr>
        <w:t xml:space="preserve"> criticou a exploração do Norte Global, que vê a África como um continente faminto dependente de doações externas, embora na verdade seja um doador de seus recursos naturais, e não ao contrário, ele foi supostamente assassinado por envenenamento, a mando da França. Magufuli foi substituído pela então presidente Samia Suluhu no mesmo ano, e muitos tanzanianos continuam a acusá-la de estar servindo aos interesses do Ocidente até hoje.</w:t>
      </w:r>
    </w:p>
    <w:p w14:paraId="73BB0B4F"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Quando </w:t>
      </w:r>
      <w:r w:rsidRPr="009E3A67">
        <w:rPr>
          <w:rFonts w:ascii="Times New Roman" w:eastAsia="Calibri" w:hAnsi="Times New Roman" w:cs="Times New Roman"/>
          <w:i/>
          <w:iCs/>
          <w:sz w:val="24"/>
          <w:szCs w:val="24"/>
        </w:rPr>
        <w:t>Nkrumah</w:t>
      </w:r>
      <w:r w:rsidRPr="009E3A67">
        <w:rPr>
          <w:rFonts w:ascii="Times New Roman" w:eastAsia="Calibri" w:hAnsi="Times New Roman" w:cs="Times New Roman"/>
          <w:sz w:val="24"/>
          <w:szCs w:val="24"/>
        </w:rPr>
        <w:t xml:space="preserve"> (1967) apontou o neocolonialismo como uma nova forma de controle, exploração e manutenção do poder ocidental sobre a África pós-colonial, ele ressaltou como os países colonizadores europeus possuem facilidade para interferir nos problemas econômicos e políticos africanos, frequentemente contribuindo para sua desestabilização. Ele criticou, por exemplo, a organização de cimeiras por países europeus para discutir questões africanas, sugerindo que isso reflete a visão de que a África não é capaz de se auto-governar ou resolver seus próprios problemas de forma independente.</w:t>
      </w:r>
    </w:p>
    <w:p w14:paraId="69ADCC29"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Nessa dinâmica, comparável à relação entre o rato e o queijo, persiste uma subserviência política, perpetuando a dependência da África em relação à Europa, como ilustrado na música </w:t>
      </w:r>
      <w:r w:rsidRPr="009E3A67">
        <w:rPr>
          <w:rFonts w:ascii="Times New Roman" w:eastAsia="Calibri" w:hAnsi="Times New Roman" w:cs="Times New Roman"/>
          <w:i/>
          <w:iCs/>
          <w:sz w:val="24"/>
          <w:szCs w:val="24"/>
        </w:rPr>
        <w:t>"Revolução Já"</w:t>
      </w:r>
      <w:r w:rsidRPr="009E3A67">
        <w:rPr>
          <w:rFonts w:ascii="Times New Roman" w:eastAsia="Calibri" w:hAnsi="Times New Roman" w:cs="Times New Roman"/>
          <w:sz w:val="24"/>
          <w:szCs w:val="24"/>
        </w:rPr>
        <w:t xml:space="preserve"> </w:t>
      </w:r>
      <w:r w:rsidRPr="009E3A67">
        <w:rPr>
          <w:rStyle w:val="Refdenotaderodap"/>
          <w:rFonts w:ascii="Times New Roman" w:eastAsia="Calibri" w:hAnsi="Times New Roman" w:cs="Times New Roman"/>
          <w:sz w:val="24"/>
          <w:szCs w:val="24"/>
        </w:rPr>
        <w:footnoteReference w:id="16"/>
      </w:r>
      <w:r w:rsidRPr="009E3A67">
        <w:rPr>
          <w:rFonts w:ascii="Times New Roman" w:eastAsia="Calibri" w:hAnsi="Times New Roman" w:cs="Times New Roman"/>
          <w:sz w:val="24"/>
          <w:szCs w:val="24"/>
        </w:rPr>
        <w:t xml:space="preserve">de </w:t>
      </w:r>
      <w:r w:rsidRPr="009E3A67">
        <w:rPr>
          <w:rFonts w:ascii="Times New Roman" w:eastAsia="Calibri" w:hAnsi="Times New Roman" w:cs="Times New Roman"/>
          <w:i/>
          <w:iCs/>
          <w:sz w:val="24"/>
          <w:szCs w:val="24"/>
        </w:rPr>
        <w:t>Azagaia,</w:t>
      </w:r>
      <w:r w:rsidRPr="009E3A67">
        <w:rPr>
          <w:rFonts w:ascii="Times New Roman" w:eastAsia="Calibri" w:hAnsi="Times New Roman" w:cs="Times New Roman"/>
          <w:sz w:val="24"/>
          <w:szCs w:val="24"/>
        </w:rPr>
        <w:t xml:space="preserve"> disponível no YouTube:</w:t>
      </w:r>
    </w:p>
    <w:p w14:paraId="4B7E217A" w14:textId="77777777" w:rsidR="00DA15ED" w:rsidRPr="009E3A67" w:rsidRDefault="00DA15ED" w:rsidP="00E17D18">
      <w:pPr>
        <w:spacing w:after="0" w:line="240" w:lineRule="auto"/>
        <w:ind w:firstLine="709"/>
        <w:jc w:val="both"/>
        <w:rPr>
          <w:rFonts w:ascii="Times New Roman" w:eastAsia="Calibri" w:hAnsi="Times New Roman" w:cs="Times New Roman"/>
          <w:sz w:val="24"/>
          <w:szCs w:val="24"/>
        </w:rPr>
      </w:pPr>
    </w:p>
    <w:p w14:paraId="40D72454" w14:textId="77777777" w:rsidR="00DA15ED" w:rsidRPr="009E3A67" w:rsidRDefault="00DA15ED" w:rsidP="00273C3B">
      <w:pPr>
        <w:spacing w:after="0" w:line="240" w:lineRule="auto"/>
        <w:ind w:left="2268"/>
        <w:rPr>
          <w:rFonts w:ascii="Times New Roman" w:eastAsia="Calibri" w:hAnsi="Times New Roman" w:cs="Times New Roman"/>
          <w:sz w:val="20"/>
          <w:szCs w:val="20"/>
        </w:rPr>
      </w:pPr>
      <w:r w:rsidRPr="009E3A67">
        <w:rPr>
          <w:rFonts w:ascii="Times New Roman" w:eastAsia="Calibri" w:hAnsi="Times New Roman" w:cs="Times New Roman"/>
          <w:sz w:val="20"/>
          <w:szCs w:val="20"/>
        </w:rPr>
        <w:t>Se te guiares pelo europeu, tu sempre serás pobre na vida</w:t>
      </w:r>
    </w:p>
    <w:p w14:paraId="189990A5" w14:textId="77777777" w:rsidR="00DA15ED" w:rsidRPr="009E3A67" w:rsidRDefault="00DA15ED" w:rsidP="00273C3B">
      <w:pPr>
        <w:spacing w:after="0" w:line="240" w:lineRule="auto"/>
        <w:ind w:left="2268"/>
        <w:rPr>
          <w:rFonts w:ascii="Times New Roman" w:eastAsia="Calibri" w:hAnsi="Times New Roman" w:cs="Times New Roman"/>
          <w:sz w:val="20"/>
          <w:szCs w:val="20"/>
        </w:rPr>
      </w:pPr>
      <w:r w:rsidRPr="009E3A67">
        <w:rPr>
          <w:rFonts w:ascii="Times New Roman" w:eastAsia="Calibri" w:hAnsi="Times New Roman" w:cs="Times New Roman"/>
          <w:sz w:val="20"/>
          <w:szCs w:val="20"/>
        </w:rPr>
        <w:t>Ele sempre será o que monta e fabrica e tu o que compra e aplica</w:t>
      </w:r>
    </w:p>
    <w:p w14:paraId="564ED385" w14:textId="77777777" w:rsidR="00DA15ED" w:rsidRPr="009E3A67" w:rsidRDefault="00DA15ED" w:rsidP="00273C3B">
      <w:pPr>
        <w:spacing w:after="0" w:line="240" w:lineRule="auto"/>
        <w:ind w:left="2268"/>
        <w:rPr>
          <w:rFonts w:ascii="Times New Roman" w:eastAsia="Calibri" w:hAnsi="Times New Roman" w:cs="Times New Roman"/>
          <w:sz w:val="20"/>
          <w:szCs w:val="20"/>
        </w:rPr>
      </w:pPr>
      <w:r w:rsidRPr="009E3A67">
        <w:rPr>
          <w:rFonts w:ascii="Times New Roman" w:eastAsia="Calibri" w:hAnsi="Times New Roman" w:cs="Times New Roman"/>
          <w:sz w:val="20"/>
          <w:szCs w:val="20"/>
        </w:rPr>
        <w:t>O que recebe a esmola e acredita que a Europa perdoará a dívida</w:t>
      </w:r>
    </w:p>
    <w:p w14:paraId="29157D65" w14:textId="77777777" w:rsidR="00DA15ED" w:rsidRPr="009E3A67" w:rsidRDefault="00DA15ED" w:rsidP="00273C3B">
      <w:pPr>
        <w:spacing w:after="0" w:line="240" w:lineRule="auto"/>
        <w:ind w:left="2268"/>
        <w:rPr>
          <w:rFonts w:ascii="Times New Roman" w:eastAsia="Calibri" w:hAnsi="Times New Roman" w:cs="Times New Roman"/>
          <w:sz w:val="20"/>
          <w:szCs w:val="20"/>
        </w:rPr>
      </w:pPr>
      <w:r w:rsidRPr="009E3A67">
        <w:rPr>
          <w:rFonts w:ascii="Times New Roman" w:eastAsia="Calibri" w:hAnsi="Times New Roman" w:cs="Times New Roman"/>
          <w:sz w:val="20"/>
          <w:szCs w:val="20"/>
        </w:rPr>
        <w:t>Se copiares o americano, tu sempre serás off manigga</w:t>
      </w:r>
    </w:p>
    <w:p w14:paraId="38784AA2" w14:textId="77777777" w:rsidR="00DA15ED" w:rsidRPr="009E3A67" w:rsidRDefault="00DA15ED" w:rsidP="00273C3B">
      <w:pPr>
        <w:spacing w:after="0" w:line="240" w:lineRule="auto"/>
        <w:ind w:left="2268"/>
        <w:rPr>
          <w:rFonts w:ascii="Times New Roman" w:eastAsia="Calibri" w:hAnsi="Times New Roman" w:cs="Times New Roman"/>
          <w:sz w:val="20"/>
          <w:szCs w:val="20"/>
        </w:rPr>
      </w:pPr>
      <w:r w:rsidRPr="009E3A67">
        <w:rPr>
          <w:rFonts w:ascii="Times New Roman" w:eastAsia="Calibri" w:hAnsi="Times New Roman" w:cs="Times New Roman"/>
          <w:sz w:val="20"/>
          <w:szCs w:val="20"/>
        </w:rPr>
        <w:t>Ele sempre terá o nome do artista e tu o de fantoche que imita</w:t>
      </w:r>
    </w:p>
    <w:p w14:paraId="79D3F281" w14:textId="77777777" w:rsidR="00DA15ED" w:rsidRPr="009E3A67" w:rsidRDefault="00DA15ED" w:rsidP="00273C3B">
      <w:pPr>
        <w:spacing w:after="0" w:line="240" w:lineRule="auto"/>
        <w:ind w:left="2268"/>
        <w:rPr>
          <w:rFonts w:ascii="Times New Roman" w:eastAsia="Calibri" w:hAnsi="Times New Roman" w:cs="Times New Roman"/>
          <w:sz w:val="20"/>
          <w:szCs w:val="20"/>
        </w:rPr>
      </w:pPr>
      <w:r w:rsidRPr="009E3A67">
        <w:rPr>
          <w:rFonts w:ascii="Times New Roman" w:eastAsia="Calibri" w:hAnsi="Times New Roman" w:cs="Times New Roman"/>
          <w:sz w:val="20"/>
          <w:szCs w:val="20"/>
        </w:rPr>
        <w:t>Seja na voz ou na mímica, fotocópia duma cultura não se autentica</w:t>
      </w:r>
    </w:p>
    <w:p w14:paraId="530B2DE8" w14:textId="77777777" w:rsidR="00DA15ED" w:rsidRPr="009E3A67" w:rsidRDefault="00DA15ED" w:rsidP="00273C3B">
      <w:pPr>
        <w:spacing w:after="0" w:line="240" w:lineRule="auto"/>
        <w:ind w:left="2268"/>
        <w:rPr>
          <w:rFonts w:ascii="Times New Roman" w:eastAsia="Calibri" w:hAnsi="Times New Roman" w:cs="Times New Roman"/>
          <w:sz w:val="20"/>
          <w:szCs w:val="20"/>
        </w:rPr>
      </w:pPr>
      <w:r w:rsidRPr="009E3A67">
        <w:rPr>
          <w:rFonts w:ascii="Times New Roman" w:eastAsia="Calibri" w:hAnsi="Times New Roman" w:cs="Times New Roman"/>
          <w:sz w:val="20"/>
          <w:szCs w:val="20"/>
        </w:rPr>
        <w:t>Tu tens sangue africano a correr no mapa do teu corpo</w:t>
      </w:r>
    </w:p>
    <w:p w14:paraId="6EECFE9C" w14:textId="77777777" w:rsidR="00DA15ED" w:rsidRPr="009E3A67" w:rsidRDefault="00DA15ED" w:rsidP="00273C3B">
      <w:pPr>
        <w:spacing w:after="0" w:line="240" w:lineRule="auto"/>
        <w:ind w:left="2268"/>
        <w:rPr>
          <w:rFonts w:ascii="Times New Roman" w:eastAsia="Calibri" w:hAnsi="Times New Roman" w:cs="Times New Roman"/>
          <w:sz w:val="20"/>
          <w:szCs w:val="20"/>
        </w:rPr>
      </w:pPr>
      <w:r w:rsidRPr="009E3A67">
        <w:rPr>
          <w:rFonts w:ascii="Times New Roman" w:eastAsia="Calibri" w:hAnsi="Times New Roman" w:cs="Times New Roman"/>
          <w:sz w:val="20"/>
          <w:szCs w:val="20"/>
        </w:rPr>
        <w:t>Nunca serás ariano, francês, americano ou outro</w:t>
      </w:r>
    </w:p>
    <w:p w14:paraId="14F0A501" w14:textId="77777777" w:rsidR="00DA15ED" w:rsidRPr="009E3A67" w:rsidRDefault="00DA15ED" w:rsidP="00273C3B">
      <w:pPr>
        <w:spacing w:after="0" w:line="240" w:lineRule="auto"/>
        <w:ind w:left="2268"/>
        <w:rPr>
          <w:rFonts w:ascii="Times New Roman" w:eastAsia="Calibri" w:hAnsi="Times New Roman" w:cs="Times New Roman"/>
          <w:sz w:val="20"/>
          <w:szCs w:val="20"/>
        </w:rPr>
      </w:pPr>
      <w:r w:rsidRPr="009E3A67">
        <w:rPr>
          <w:rFonts w:ascii="Times New Roman" w:eastAsia="Calibri" w:hAnsi="Times New Roman" w:cs="Times New Roman"/>
          <w:sz w:val="20"/>
          <w:szCs w:val="20"/>
        </w:rPr>
        <w:t>Outro, não de qualquer outro povo</w:t>
      </w:r>
    </w:p>
    <w:p w14:paraId="6EF6D46D" w14:textId="77777777" w:rsidR="00DA15ED" w:rsidRPr="009E3A67" w:rsidRDefault="00DA15ED" w:rsidP="00273C3B">
      <w:pPr>
        <w:spacing w:line="240" w:lineRule="auto"/>
        <w:ind w:left="2268"/>
        <w:rPr>
          <w:rFonts w:ascii="Times New Roman" w:eastAsia="Calibri" w:hAnsi="Times New Roman" w:cs="Times New Roman"/>
          <w:sz w:val="20"/>
          <w:szCs w:val="20"/>
        </w:rPr>
      </w:pPr>
      <w:r w:rsidRPr="009E3A67">
        <w:rPr>
          <w:rFonts w:ascii="Times New Roman" w:eastAsia="Calibri" w:hAnsi="Times New Roman" w:cs="Times New Roman"/>
          <w:sz w:val="20"/>
          <w:szCs w:val="20"/>
        </w:rPr>
        <w:t>África é selvagem aos olhos azuis, abre o olho.</w:t>
      </w:r>
    </w:p>
    <w:p w14:paraId="0E405B3A" w14:textId="77777777" w:rsidR="00DA15ED" w:rsidRPr="009E3A67" w:rsidRDefault="00DA15ED" w:rsidP="00CF6E9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i/>
          <w:iCs/>
          <w:sz w:val="24"/>
          <w:szCs w:val="24"/>
        </w:rPr>
        <w:t>Azagaia</w:t>
      </w:r>
      <w:r w:rsidRPr="009E3A67">
        <w:rPr>
          <w:rFonts w:ascii="Times New Roman" w:eastAsia="Calibri" w:hAnsi="Times New Roman" w:cs="Times New Roman"/>
          <w:sz w:val="24"/>
          <w:szCs w:val="24"/>
        </w:rPr>
        <w:t xml:space="preserve"> argumenta que o imaginário neocolonialista europeu perpetua a visão da África como uma selva. Enquanto as lideranças marionetes africanas vivem recebendo esmolas e consumindo tudo que vem do Norte-global, a Europa e seus aliados vão continuar lucrando à custa do empobrecimento crescente dos países africanos.</w:t>
      </w:r>
    </w:p>
    <w:p w14:paraId="55F87CD6" w14:textId="77777777" w:rsidR="00DA15ED" w:rsidRPr="009E3A67" w:rsidRDefault="00DA15ED" w:rsidP="00CF6E9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Para finalizar, abordaremos como as ajudas externas e a ascensão dos discursos das lideranças africanas insurgentes no Sahel trouxeram uma nova dinâmica política, tanto na questão do controle europeu por meio do endividamento quanto na dominação contínua da Europa e de seus aliados sobre as economias africanas através do neocolonialismo, sem considerar a agenda futura global da África.</w:t>
      </w:r>
    </w:p>
    <w:p w14:paraId="4EE6BCC3" w14:textId="77777777" w:rsidR="00273C3B" w:rsidRPr="009E3A67" w:rsidRDefault="00273C3B" w:rsidP="00AD7588">
      <w:pPr>
        <w:spacing w:after="0" w:line="240" w:lineRule="auto"/>
        <w:ind w:firstLine="851"/>
        <w:jc w:val="both"/>
        <w:rPr>
          <w:rFonts w:ascii="Times New Roman" w:eastAsia="Calibri" w:hAnsi="Times New Roman" w:cs="Times New Roman"/>
          <w:sz w:val="24"/>
          <w:szCs w:val="24"/>
        </w:rPr>
      </w:pPr>
    </w:p>
    <w:p w14:paraId="38DA037F" w14:textId="15C6D3A9" w:rsidR="00DA15ED" w:rsidRPr="009E3A67" w:rsidRDefault="005E5E1B" w:rsidP="00D6257B">
      <w:pPr>
        <w:pStyle w:val="Ttulo1"/>
        <w:spacing w:before="0" w:line="240" w:lineRule="auto"/>
        <w:jc w:val="both"/>
        <w:rPr>
          <w:rFonts w:ascii="Times New Roman" w:eastAsia="Calibri" w:hAnsi="Times New Roman" w:cs="Times New Roman"/>
          <w:b/>
          <w:color w:val="auto"/>
          <w:sz w:val="24"/>
          <w:szCs w:val="24"/>
        </w:rPr>
      </w:pPr>
      <w:r>
        <w:rPr>
          <w:rFonts w:ascii="Times New Roman" w:eastAsia="Calibri" w:hAnsi="Times New Roman" w:cs="Times New Roman"/>
          <w:b/>
          <w:color w:val="auto"/>
          <w:sz w:val="24"/>
          <w:szCs w:val="24"/>
        </w:rPr>
        <w:t>2.2</w:t>
      </w:r>
      <w:r w:rsidR="00476063" w:rsidRPr="009E3A67">
        <w:rPr>
          <w:rFonts w:ascii="Times New Roman" w:eastAsia="Calibri" w:hAnsi="Times New Roman" w:cs="Times New Roman"/>
          <w:b/>
          <w:color w:val="auto"/>
          <w:sz w:val="24"/>
          <w:szCs w:val="24"/>
        </w:rPr>
        <w:t xml:space="preserve"> </w:t>
      </w:r>
      <w:r w:rsidR="00DA15ED" w:rsidRPr="009E3A67">
        <w:rPr>
          <w:rFonts w:ascii="Times New Roman" w:eastAsia="Calibri" w:hAnsi="Times New Roman" w:cs="Times New Roman"/>
          <w:b/>
          <w:color w:val="auto"/>
          <w:sz w:val="24"/>
          <w:szCs w:val="24"/>
        </w:rPr>
        <w:t>A QUESTÃO DAS AJUDAS EXTERNAS E OS DISCURSOS POLÍTICOS INSURGENTES: PROPOSTAS PARA A AUTONOMIA AFRICANA.</w:t>
      </w:r>
    </w:p>
    <w:p w14:paraId="7EF44E1B" w14:textId="77777777" w:rsidR="00AD7588" w:rsidRDefault="00AD7588" w:rsidP="00AD7588">
      <w:pPr>
        <w:spacing w:after="0" w:line="240" w:lineRule="auto"/>
        <w:ind w:firstLine="851"/>
        <w:jc w:val="both"/>
        <w:rPr>
          <w:rFonts w:ascii="Times New Roman" w:eastAsia="Calibri" w:hAnsi="Times New Roman" w:cs="Times New Roman"/>
          <w:sz w:val="24"/>
          <w:szCs w:val="24"/>
        </w:rPr>
      </w:pPr>
    </w:p>
    <w:p w14:paraId="1EC4EC3E" w14:textId="61F13E6A"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Na véspera da pandemia, a França sediou a cimeira França-África </w:t>
      </w:r>
      <w:r w:rsidRPr="009E3A67">
        <w:rPr>
          <w:rStyle w:val="Refdenotaderodap"/>
          <w:rFonts w:ascii="Times New Roman" w:eastAsia="Calibri" w:hAnsi="Times New Roman" w:cs="Times New Roman"/>
          <w:sz w:val="24"/>
          <w:szCs w:val="24"/>
        </w:rPr>
        <w:footnoteReference w:id="17"/>
      </w:r>
      <w:r w:rsidRPr="009E3A67">
        <w:rPr>
          <w:rFonts w:ascii="Times New Roman" w:eastAsia="Calibri" w:hAnsi="Times New Roman" w:cs="Times New Roman"/>
          <w:sz w:val="24"/>
          <w:szCs w:val="24"/>
        </w:rPr>
        <w:t>em 18 de maio de 2021, com o objetivo de elaborar um plano para ajudar o continente africano a superar os impactos econômicos causados pela pandemia da Covid-19, disponibilizando uma ajuda de 100 milhões de dólares. No entanto, dois anos depois, em 27 de julho de 2023, a Rússia também organizou sua própria cimeira, a Rússia-África,</w:t>
      </w:r>
      <w:r w:rsidRPr="009E3A67">
        <w:rPr>
          <w:rStyle w:val="Refdenotaderodap"/>
          <w:rFonts w:ascii="Times New Roman" w:eastAsia="Calibri" w:hAnsi="Times New Roman" w:cs="Times New Roman"/>
          <w:sz w:val="24"/>
          <w:szCs w:val="24"/>
        </w:rPr>
        <w:footnoteReference w:id="18"/>
      </w:r>
      <w:r w:rsidRPr="009E3A67">
        <w:rPr>
          <w:rFonts w:ascii="Times New Roman" w:eastAsia="Calibri" w:hAnsi="Times New Roman" w:cs="Times New Roman"/>
          <w:sz w:val="24"/>
          <w:szCs w:val="24"/>
        </w:rPr>
        <w:t xml:space="preserve"> em São Petersburgo. Essas cimeiras provocaram debates intensos, levantando questões sobre o que é discutido a portas fechadas, que os líderes africanos não conseguem resolver entre si. Como é possível que pessoas que vivem distantes de suas casas sejam responsáveis por resolver os problemas de suas próprias nações? </w:t>
      </w:r>
    </w:p>
    <w:p w14:paraId="03A7B67B"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Esses exemplos nos levam a ponderar sobre o que </w:t>
      </w:r>
      <w:r w:rsidRPr="009E3A67">
        <w:rPr>
          <w:rFonts w:ascii="Times New Roman" w:eastAsia="Calibri" w:hAnsi="Times New Roman" w:cs="Times New Roman"/>
          <w:i/>
          <w:iCs/>
          <w:sz w:val="24"/>
          <w:szCs w:val="24"/>
        </w:rPr>
        <w:t>Garvey</w:t>
      </w:r>
      <w:r w:rsidRPr="009E3A67">
        <w:rPr>
          <w:rFonts w:ascii="Times New Roman" w:eastAsia="Calibri" w:hAnsi="Times New Roman" w:cs="Times New Roman"/>
          <w:sz w:val="24"/>
          <w:szCs w:val="24"/>
        </w:rPr>
        <w:t xml:space="preserve"> (1940) teria a dizer sobre o assunto, como retratado no documentário "O Honorável Marcus Mosiah Garvey", disponível no Youtube:</w:t>
      </w:r>
    </w:p>
    <w:p w14:paraId="541049C0" w14:textId="77777777" w:rsidR="00DA15ED" w:rsidRPr="009E3A67" w:rsidRDefault="00DA15ED" w:rsidP="00DA15ED">
      <w:pPr>
        <w:spacing w:after="0" w:line="360" w:lineRule="auto"/>
        <w:ind w:firstLine="708"/>
        <w:jc w:val="both"/>
        <w:rPr>
          <w:rFonts w:ascii="Times New Roman" w:eastAsia="Calibri" w:hAnsi="Times New Roman" w:cs="Times New Roman"/>
          <w:sz w:val="24"/>
          <w:szCs w:val="24"/>
        </w:rPr>
      </w:pPr>
    </w:p>
    <w:p w14:paraId="0FEA2604" w14:textId="77777777" w:rsidR="00DA15ED" w:rsidRPr="009E3A67" w:rsidRDefault="00DA15ED" w:rsidP="0007060A">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xml:space="preserve">Qualquer liderança que te ensine a depender de outra raça, é uma liderança que vai escravizá-los[...]. Eles deram liderança para os nossos ancestrais e essa liderança os escravizou” </w:t>
      </w:r>
      <w:r w:rsidRPr="009E3A67">
        <w:rPr>
          <w:rFonts w:ascii="Times New Roman" w:eastAsia="Calibri" w:hAnsi="Times New Roman" w:cs="Times New Roman"/>
          <w:sz w:val="20"/>
          <w:szCs w:val="20"/>
          <w:vertAlign w:val="superscript"/>
        </w:rPr>
        <w:footnoteReference w:id="19"/>
      </w:r>
      <w:r w:rsidRPr="009E3A67">
        <w:rPr>
          <w:rFonts w:ascii="Times New Roman" w:eastAsia="Calibri" w:hAnsi="Times New Roman" w:cs="Times New Roman"/>
          <w:sz w:val="20"/>
          <w:szCs w:val="20"/>
        </w:rPr>
        <w:t xml:space="preserve">, portanto, os países europeus durante o colonialismo ensinaram os países africanos a depender deles com </w:t>
      </w:r>
      <w:r w:rsidR="002A4418" w:rsidRPr="009E3A67">
        <w:rPr>
          <w:rFonts w:ascii="Times New Roman" w:eastAsia="Calibri" w:hAnsi="Times New Roman" w:cs="Times New Roman"/>
          <w:sz w:val="20"/>
          <w:szCs w:val="20"/>
        </w:rPr>
        <w:t>o objetivo</w:t>
      </w:r>
      <w:r w:rsidRPr="009E3A67">
        <w:rPr>
          <w:rFonts w:ascii="Times New Roman" w:eastAsia="Calibri" w:hAnsi="Times New Roman" w:cs="Times New Roman"/>
          <w:sz w:val="20"/>
          <w:szCs w:val="20"/>
        </w:rPr>
        <w:t xml:space="preserve"> de escravizá-los eternamente. </w:t>
      </w:r>
    </w:p>
    <w:p w14:paraId="24C12412" w14:textId="77777777" w:rsidR="00DA15ED" w:rsidRPr="009E3A67" w:rsidRDefault="00DA15ED" w:rsidP="00DA15ED">
      <w:pPr>
        <w:spacing w:after="0" w:line="240" w:lineRule="auto"/>
        <w:ind w:left="2268"/>
        <w:jc w:val="both"/>
        <w:rPr>
          <w:rFonts w:ascii="Times New Roman" w:eastAsia="Calibri" w:hAnsi="Times New Roman" w:cs="Times New Roman"/>
        </w:rPr>
      </w:pPr>
    </w:p>
    <w:p w14:paraId="20919E5B"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i/>
          <w:iCs/>
          <w:sz w:val="24"/>
          <w:szCs w:val="24"/>
        </w:rPr>
        <w:t>Garvey</w:t>
      </w:r>
      <w:r w:rsidRPr="009E3A67">
        <w:rPr>
          <w:rFonts w:ascii="Times New Roman" w:eastAsia="Calibri" w:hAnsi="Times New Roman" w:cs="Times New Roman"/>
          <w:sz w:val="24"/>
          <w:szCs w:val="24"/>
        </w:rPr>
        <w:t xml:space="preserve"> percebia a estratégia europeia de manter a África dependente economicamente como um pacto de dominação e escravidão contínua. Essa visão ecoa no discurso de </w:t>
      </w:r>
      <w:r w:rsidRPr="009E3A67">
        <w:rPr>
          <w:rFonts w:ascii="Times New Roman" w:eastAsia="Calibri" w:hAnsi="Times New Roman" w:cs="Times New Roman"/>
          <w:i/>
          <w:iCs/>
          <w:sz w:val="24"/>
          <w:szCs w:val="24"/>
        </w:rPr>
        <w:t>Sankara,</w:t>
      </w:r>
      <w:r w:rsidRPr="009E3A67">
        <w:rPr>
          <w:rFonts w:ascii="Times New Roman" w:eastAsia="Calibri" w:hAnsi="Times New Roman" w:cs="Times New Roman"/>
          <w:sz w:val="24"/>
          <w:szCs w:val="24"/>
        </w:rPr>
        <w:t xml:space="preserve"> que, em um documentário disponível no YouTube</w:t>
      </w:r>
      <w:r w:rsidRPr="009E3A67">
        <w:rPr>
          <w:rStyle w:val="Refdenotaderodap"/>
          <w:rFonts w:ascii="Times New Roman" w:eastAsia="Calibri" w:hAnsi="Times New Roman" w:cs="Times New Roman"/>
          <w:sz w:val="24"/>
          <w:szCs w:val="24"/>
        </w:rPr>
        <w:footnoteReference w:id="20"/>
      </w:r>
      <w:r w:rsidRPr="009E3A67">
        <w:rPr>
          <w:rFonts w:ascii="Times New Roman" w:eastAsia="Calibri" w:hAnsi="Times New Roman" w:cs="Times New Roman"/>
          <w:sz w:val="24"/>
          <w:szCs w:val="24"/>
        </w:rPr>
        <w:t xml:space="preserve">, destacou que "a dívida é uma nova forma de colonialismo". Ele criticou os antigos colonizadores por se disfarçarem de técnicos de ajuda humanitária, chamando-os de "técnicos assassinos" que endividaram toda a África através de canais de financiamento e financiadores manipulativos. </w:t>
      </w:r>
      <w:r w:rsidRPr="009E3A67">
        <w:rPr>
          <w:rFonts w:ascii="Times New Roman" w:eastAsia="Calibri" w:hAnsi="Times New Roman" w:cs="Times New Roman"/>
          <w:i/>
          <w:iCs/>
          <w:sz w:val="24"/>
          <w:szCs w:val="24"/>
        </w:rPr>
        <w:t>Sankara</w:t>
      </w:r>
      <w:r w:rsidRPr="009E3A67">
        <w:rPr>
          <w:rFonts w:ascii="Times New Roman" w:eastAsia="Calibri" w:hAnsi="Times New Roman" w:cs="Times New Roman"/>
          <w:sz w:val="24"/>
          <w:szCs w:val="24"/>
        </w:rPr>
        <w:t xml:space="preserve"> ainda alertou que aceitar pagar dívidas injustas herdadas do colonialismo poderia perpetuar a escravidão financeira da África por décadas.</w:t>
      </w:r>
    </w:p>
    <w:p w14:paraId="0D74DE68"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Atualmente, a África está </w:t>
      </w:r>
      <w:r w:rsidR="002A4418" w:rsidRPr="009E3A67">
        <w:rPr>
          <w:rFonts w:ascii="Times New Roman" w:eastAsia="Calibri" w:hAnsi="Times New Roman" w:cs="Times New Roman"/>
          <w:sz w:val="24"/>
          <w:szCs w:val="24"/>
        </w:rPr>
        <w:t>mergulhada</w:t>
      </w:r>
      <w:r w:rsidRPr="009E3A67">
        <w:rPr>
          <w:rFonts w:ascii="Times New Roman" w:eastAsia="Calibri" w:hAnsi="Times New Roman" w:cs="Times New Roman"/>
          <w:sz w:val="24"/>
          <w:szCs w:val="24"/>
        </w:rPr>
        <w:t xml:space="preserve"> em dívidas com todas as potências econômicas mundiais, o que tem contribuído significativamente para o subdesenvolvimento do continente (TATI, 2022). É amplamente reconhecido que nenhum país pode se desenvolver plenamente enquanto estiver endividado, sendo esse um dos principais fatores que limitam o progresso africano na era global. Além disso, as agendas de regimes ditatoriais internos, muitas vezes alinhados com interesses das elites globais, também têm exacerbado esses desafios.</w:t>
      </w:r>
    </w:p>
    <w:p w14:paraId="5784EAFC"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Nos últimos quatro anos, a região do Sahel tem sido palco de mudanças políticas significativas, com mais de oito golpes de estado, incluindo notáveis em </w:t>
      </w:r>
      <w:r w:rsidRPr="009E3A67">
        <w:rPr>
          <w:rFonts w:ascii="Times New Roman" w:eastAsia="Calibri" w:hAnsi="Times New Roman" w:cs="Times New Roman"/>
          <w:i/>
          <w:iCs/>
          <w:sz w:val="24"/>
          <w:szCs w:val="24"/>
        </w:rPr>
        <w:t>Burkina Faso,</w:t>
      </w:r>
      <w:r w:rsidRPr="009E3A67">
        <w:rPr>
          <w:rFonts w:ascii="Times New Roman" w:eastAsia="Calibri" w:hAnsi="Times New Roman" w:cs="Times New Roman"/>
          <w:sz w:val="24"/>
          <w:szCs w:val="24"/>
        </w:rPr>
        <w:t xml:space="preserve"> liderado pelo capitão </w:t>
      </w:r>
      <w:r w:rsidRPr="009E3A67">
        <w:rPr>
          <w:rFonts w:ascii="Times New Roman" w:eastAsia="Calibri" w:hAnsi="Times New Roman" w:cs="Times New Roman"/>
          <w:i/>
          <w:iCs/>
          <w:sz w:val="24"/>
          <w:szCs w:val="24"/>
        </w:rPr>
        <w:t>Ibrahim Traoré</w:t>
      </w:r>
      <w:r w:rsidRPr="009E3A67">
        <w:rPr>
          <w:rFonts w:ascii="Times New Roman" w:eastAsia="Calibri" w:hAnsi="Times New Roman" w:cs="Times New Roman"/>
          <w:sz w:val="24"/>
          <w:szCs w:val="24"/>
        </w:rPr>
        <w:t xml:space="preserve">, Mali, pelo coronel </w:t>
      </w:r>
      <w:r w:rsidRPr="009E3A67">
        <w:rPr>
          <w:rFonts w:ascii="Times New Roman" w:eastAsia="Calibri" w:hAnsi="Times New Roman" w:cs="Times New Roman"/>
          <w:i/>
          <w:iCs/>
          <w:sz w:val="24"/>
          <w:szCs w:val="24"/>
        </w:rPr>
        <w:t>Assimi Goïta,</w:t>
      </w:r>
      <w:r w:rsidRPr="009E3A67">
        <w:rPr>
          <w:rFonts w:ascii="Times New Roman" w:eastAsia="Calibri" w:hAnsi="Times New Roman" w:cs="Times New Roman"/>
          <w:sz w:val="24"/>
          <w:szCs w:val="24"/>
        </w:rPr>
        <w:t xml:space="preserve"> e Níger, pelo general </w:t>
      </w:r>
      <w:r w:rsidRPr="009E3A67">
        <w:rPr>
          <w:rFonts w:ascii="Times New Roman" w:eastAsia="Calibri" w:hAnsi="Times New Roman" w:cs="Times New Roman"/>
          <w:i/>
          <w:iCs/>
          <w:sz w:val="24"/>
          <w:szCs w:val="24"/>
        </w:rPr>
        <w:t>Abdourahamane Tchiani,</w:t>
      </w:r>
      <w:r w:rsidRPr="009E3A67">
        <w:rPr>
          <w:rFonts w:ascii="Times New Roman" w:eastAsia="Calibri" w:hAnsi="Times New Roman" w:cs="Times New Roman"/>
          <w:sz w:val="24"/>
          <w:szCs w:val="24"/>
        </w:rPr>
        <w:t xml:space="preserve"> independentes da influência francesa. Em resposta à ingerência francesa</w:t>
      </w:r>
      <w:r w:rsidRPr="009E3A67">
        <w:rPr>
          <w:rFonts w:ascii="Times New Roman" w:eastAsia="Calibri" w:hAnsi="Times New Roman" w:cs="Times New Roman"/>
          <w:i/>
          <w:iCs/>
          <w:sz w:val="24"/>
          <w:szCs w:val="24"/>
        </w:rPr>
        <w:t>, Mali, Burkina Faso e Níger</w:t>
      </w:r>
      <w:r w:rsidRPr="009E3A67">
        <w:rPr>
          <w:rFonts w:ascii="Times New Roman" w:eastAsia="Calibri" w:hAnsi="Times New Roman" w:cs="Times New Roman"/>
          <w:sz w:val="24"/>
          <w:szCs w:val="24"/>
        </w:rPr>
        <w:t xml:space="preserve"> optaram por expulsar as tropas francesas de seus territórios, romper as relações com a França, deixar a CEDEAO e formar uma junta de coalizão entre os três países na África Ocidental em 2022.</w:t>
      </w:r>
    </w:p>
    <w:p w14:paraId="2137B006"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 Durante a cimeira Rússia-África de 2023, </w:t>
      </w:r>
      <w:r w:rsidRPr="009E3A67">
        <w:rPr>
          <w:rFonts w:ascii="Times New Roman" w:eastAsia="Calibri" w:hAnsi="Times New Roman" w:cs="Times New Roman"/>
          <w:i/>
          <w:iCs/>
          <w:sz w:val="24"/>
          <w:szCs w:val="24"/>
        </w:rPr>
        <w:t>Ibrahim Traoré</w:t>
      </w:r>
      <w:r w:rsidRPr="009E3A67">
        <w:rPr>
          <w:rFonts w:ascii="Times New Roman" w:eastAsia="Calibri" w:hAnsi="Times New Roman" w:cs="Times New Roman"/>
          <w:sz w:val="24"/>
          <w:szCs w:val="24"/>
        </w:rPr>
        <w:t xml:space="preserve"> ganhou destaque ao criticar o neocolonialismo e o egoísmo de certas lideranças africanas ao lado do presidente russo Vladimir Putin, um aliado controverso na região. Em um vídeo disponível no canal EuAfro </w:t>
      </w:r>
      <w:r w:rsidRPr="009E3A67">
        <w:rPr>
          <w:rFonts w:ascii="Times New Roman" w:eastAsia="Calibri" w:hAnsi="Times New Roman" w:cs="Times New Roman"/>
          <w:i/>
          <w:iCs/>
          <w:sz w:val="24"/>
          <w:szCs w:val="24"/>
        </w:rPr>
        <w:t xml:space="preserve">"Como Ibrahim Traoré Pretende Lutar contra o Imperialismo" </w:t>
      </w:r>
      <w:r w:rsidRPr="009E3A67">
        <w:rPr>
          <w:rFonts w:ascii="Times New Roman" w:eastAsia="Calibri" w:hAnsi="Times New Roman" w:cs="Times New Roman"/>
          <w:sz w:val="24"/>
          <w:szCs w:val="24"/>
        </w:rPr>
        <w:t>no YouTube, ele enfatizou a necessidade de libertar a África do passado colonial para construir um futuro melhor para os povos africanos:</w:t>
      </w:r>
    </w:p>
    <w:p w14:paraId="70688DEC" w14:textId="77777777" w:rsidR="00DA15ED" w:rsidRPr="009E3A67" w:rsidRDefault="00DA15ED" w:rsidP="00DA15ED">
      <w:pPr>
        <w:spacing w:after="0" w:line="360" w:lineRule="auto"/>
        <w:ind w:firstLine="709"/>
        <w:jc w:val="both"/>
        <w:rPr>
          <w:rFonts w:ascii="Times New Roman" w:eastAsia="Calibri" w:hAnsi="Times New Roman" w:cs="Times New Roman"/>
          <w:sz w:val="24"/>
          <w:szCs w:val="24"/>
        </w:rPr>
      </w:pPr>
    </w:p>
    <w:p w14:paraId="76199C54" w14:textId="19F28A3B" w:rsidR="00DA15ED" w:rsidRPr="009E3A67" w:rsidRDefault="00DA15ED" w:rsidP="002A4418">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A Rússia fez enormes sacrifícios para libertar o mundo de nazismo durante a Segunda Guerra Mundial. Povo africano, o</w:t>
      </w:r>
      <w:r w:rsidR="000B3E15" w:rsidRPr="009E3A67">
        <w:rPr>
          <w:rFonts w:ascii="Times New Roman" w:eastAsia="Calibri" w:hAnsi="Times New Roman" w:cs="Times New Roman"/>
          <w:sz w:val="20"/>
          <w:szCs w:val="20"/>
        </w:rPr>
        <w:t>s</w:t>
      </w:r>
      <w:r w:rsidRPr="009E3A67">
        <w:rPr>
          <w:rFonts w:ascii="Times New Roman" w:eastAsia="Calibri" w:hAnsi="Times New Roman" w:cs="Times New Roman"/>
          <w:sz w:val="20"/>
          <w:szCs w:val="20"/>
        </w:rPr>
        <w:t xml:space="preserve"> nossos avôs, também deportados à força para ajudar a Europa para se livrar do nazismo. Nós compartilhamos a mesma história no sentido de que somos os povos esquecidos do mundo. Seja em livros de história, documentários ou filmes, tendemos a descartar o papel fundamental que a Rússia e a África desempenharam na luta contra o nazismo. Nós estamos juntos porque atualmente estamos aqui para conversar sobre o futuro dos nossos povos, do que vai acontecer amanhã, neste mundo livre que ansiamos, neste mundo sem interferência nos nossos assuntos internos. [...] As questões que a minha terra se faz são as seguintes,</w:t>
      </w:r>
      <w:r w:rsidR="00505ABC">
        <w:rPr>
          <w:rFonts w:ascii="Times New Roman" w:eastAsia="Calibri" w:hAnsi="Times New Roman" w:cs="Times New Roman"/>
          <w:sz w:val="20"/>
          <w:szCs w:val="20"/>
        </w:rPr>
        <w:t xml:space="preserve"> </w:t>
      </w:r>
      <w:r w:rsidRPr="009E3A67">
        <w:rPr>
          <w:rFonts w:ascii="Times New Roman" w:eastAsia="Calibri" w:hAnsi="Times New Roman" w:cs="Times New Roman"/>
          <w:sz w:val="20"/>
          <w:szCs w:val="20"/>
        </w:rPr>
        <w:t xml:space="preserve">[...] é não entender como a África com tanta riqueza em nosso solo, com natureza generosa, da água, do sol em abundância, a África hoje é o continente mais pobre, a África é um continente faminto? E como é que os nossos chefes de estados viajam ao redor do mundo para implorar? Aqui estão algumas perguntas que fazemos a nós mesmos que ainda não respondemos. Temos a oportunidade de construir novos relacionamentos e espero que essas relações possam ser as melhores para dar um futuro melhor ao nosso povo. A minha geração também cobra, dizer que, é por este fato de pobreza que são forçados a atravessar o oceano para tentar chegar </w:t>
      </w:r>
      <w:r w:rsidR="002A4418" w:rsidRPr="009E3A67">
        <w:rPr>
          <w:rFonts w:ascii="Times New Roman" w:eastAsia="Calibri" w:hAnsi="Times New Roman" w:cs="Times New Roman"/>
          <w:sz w:val="20"/>
          <w:szCs w:val="20"/>
        </w:rPr>
        <w:t>a</w:t>
      </w:r>
      <w:r w:rsidRPr="009E3A67">
        <w:rPr>
          <w:rFonts w:ascii="Times New Roman" w:eastAsia="Calibri" w:hAnsi="Times New Roman" w:cs="Times New Roman"/>
          <w:sz w:val="20"/>
          <w:szCs w:val="20"/>
        </w:rPr>
        <w:t xml:space="preserve"> Europa e eles morrem no </w:t>
      </w:r>
      <w:r w:rsidR="002A4418" w:rsidRPr="009E3A67">
        <w:rPr>
          <w:rFonts w:ascii="Times New Roman" w:eastAsia="Calibri" w:hAnsi="Times New Roman" w:cs="Times New Roman"/>
          <w:sz w:val="20"/>
          <w:szCs w:val="20"/>
        </w:rPr>
        <w:t>oceano,</w:t>
      </w:r>
      <w:r w:rsidRPr="009E3A67">
        <w:rPr>
          <w:rFonts w:ascii="Times New Roman" w:eastAsia="Calibri" w:hAnsi="Times New Roman" w:cs="Times New Roman"/>
          <w:sz w:val="20"/>
          <w:szCs w:val="20"/>
        </w:rPr>
        <w:t xml:space="preserve"> mas em breve eles não vão atravessar porque eles virão diante de nossos palácios para procurar hospitais. No que diz respeito ao Burkina Faso, hoje nós enfrentamos por mais de 8 anos a forma mais bárbara, mais violenta de neocolonialismo de imperialismo. A escravidão ainda continua a se impor a nós. Os nossos predecessores nos ensinaram uma coisa, o escravo que não pode realizar a sua própria revolta, não merece pena. </w:t>
      </w:r>
    </w:p>
    <w:p w14:paraId="4F8F3D9F" w14:textId="77777777" w:rsidR="00DA15ED" w:rsidRPr="009E3A67" w:rsidRDefault="00DA15ED" w:rsidP="00DA15ED">
      <w:pPr>
        <w:spacing w:after="0" w:line="240" w:lineRule="auto"/>
        <w:ind w:left="2268" w:firstLine="709"/>
        <w:jc w:val="both"/>
        <w:rPr>
          <w:rFonts w:ascii="Times New Roman" w:eastAsia="Calibri" w:hAnsi="Times New Roman" w:cs="Times New Roman"/>
          <w:sz w:val="20"/>
          <w:szCs w:val="20"/>
        </w:rPr>
      </w:pPr>
    </w:p>
    <w:p w14:paraId="453BE762" w14:textId="77777777" w:rsidR="00DA15ED" w:rsidRPr="009E3A67" w:rsidRDefault="00DA15ED" w:rsidP="0007060A">
      <w:pPr>
        <w:spacing w:after="0" w:line="360" w:lineRule="auto"/>
        <w:ind w:firstLine="993"/>
        <w:jc w:val="both"/>
        <w:rPr>
          <w:rFonts w:ascii="Times New Roman" w:eastAsia="Calibri" w:hAnsi="Times New Roman" w:cs="Times New Roman"/>
          <w:sz w:val="24"/>
          <w:szCs w:val="24"/>
        </w:rPr>
      </w:pPr>
      <w:r w:rsidRPr="009E3A67">
        <w:rPr>
          <w:rFonts w:ascii="Times New Roman" w:eastAsia="Calibri" w:hAnsi="Times New Roman" w:cs="Times New Roman"/>
          <w:i/>
          <w:iCs/>
          <w:sz w:val="24"/>
          <w:szCs w:val="24"/>
        </w:rPr>
        <w:t xml:space="preserve">Traoré </w:t>
      </w:r>
      <w:r w:rsidRPr="009E3A67">
        <w:rPr>
          <w:rFonts w:ascii="Times New Roman" w:eastAsia="Calibri" w:hAnsi="Times New Roman" w:cs="Times New Roman"/>
          <w:sz w:val="24"/>
          <w:szCs w:val="24"/>
        </w:rPr>
        <w:t>ainda acrescenta que:</w:t>
      </w:r>
    </w:p>
    <w:p w14:paraId="262886A6" w14:textId="77777777" w:rsidR="00DA15ED" w:rsidRPr="009E3A67" w:rsidRDefault="00DA15ED" w:rsidP="00DA15ED">
      <w:pPr>
        <w:spacing w:after="0" w:line="240" w:lineRule="auto"/>
        <w:ind w:left="2268"/>
        <w:jc w:val="both"/>
        <w:rPr>
          <w:rFonts w:ascii="Times New Roman" w:eastAsia="Calibri" w:hAnsi="Times New Roman" w:cs="Times New Roman"/>
          <w:sz w:val="20"/>
          <w:szCs w:val="20"/>
        </w:rPr>
      </w:pPr>
    </w:p>
    <w:p w14:paraId="7BC2654B" w14:textId="77777777" w:rsidR="00DA15ED" w:rsidRPr="009E3A67" w:rsidRDefault="00DA15ED" w:rsidP="002A4418">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xml:space="preserve">O povo de Burkina Faso decidiu lutar, lutar contra o terrorismo para relançar o seu desenvolvimento. Nesta luta, povos valentes de 20 populações se comprometeram a pegar em armas face ao terrorismo, o que carinhosamente chamados de VDPs de voluntários. Estamos surpresos ao ver os imperialistas tratam esses VDPs como milícia e todos os tipos, é decepcionante, porque na Europa quando o povo pegam em armas para defender seu país, são tratados em patriotas, nossos avós foram deportados para salvar a Europa não foi com o consentimento deles, [contra a vontade deles] bem no caminho de volta, logo nos lembraremos quando ele quiseram reivindicar eles foram massacrados. Então, não importa quando nós, o povo, decidimos nos defender somos chamados de milícia, mas esse não é o problema. O que é o problema é ver </w:t>
      </w:r>
      <w:r w:rsidR="002A4418" w:rsidRPr="009E3A67">
        <w:rPr>
          <w:rFonts w:ascii="Times New Roman" w:eastAsia="Calibri" w:hAnsi="Times New Roman" w:cs="Times New Roman"/>
          <w:sz w:val="20"/>
          <w:szCs w:val="20"/>
        </w:rPr>
        <w:t>líderes</w:t>
      </w:r>
      <w:r w:rsidRPr="009E3A67">
        <w:rPr>
          <w:rFonts w:ascii="Times New Roman" w:eastAsia="Calibri" w:hAnsi="Times New Roman" w:cs="Times New Roman"/>
          <w:sz w:val="20"/>
          <w:szCs w:val="20"/>
        </w:rPr>
        <w:t xml:space="preserve"> de estados africanos que nada </w:t>
      </w:r>
      <w:r w:rsidR="000B3E15" w:rsidRPr="009E3A67">
        <w:rPr>
          <w:rFonts w:ascii="Times New Roman" w:eastAsia="Calibri" w:hAnsi="Times New Roman" w:cs="Times New Roman"/>
          <w:sz w:val="20"/>
          <w:szCs w:val="20"/>
        </w:rPr>
        <w:t>traz</w:t>
      </w:r>
      <w:r w:rsidRPr="009E3A67">
        <w:rPr>
          <w:rFonts w:ascii="Times New Roman" w:eastAsia="Calibri" w:hAnsi="Times New Roman" w:cs="Times New Roman"/>
          <w:sz w:val="20"/>
          <w:szCs w:val="20"/>
        </w:rPr>
        <w:t xml:space="preserve"> a estes povos que estão lutando, mas que canta igual aos imperialistas, chamando-nos milícias e chamando-nos, portanto, de homens que não respeitam os direitos humanos. De que direitos humanos estamos falando? Nos ofendemos com isso, é vergonhoso. Nós chefes de estados africanos, precisamos parar de nos comportar como marionetes que dançam sempre que os imperialistas mexem as cordas. Ontem o presidente Vladimir Putin anunciou que irá enviar cereais para África. Estamos muito felizes. Dizemos obrigado por isso. Mas também é uma mensagem é uma mensagem para os nossos líderes dos estados africanos, porque no próximo fórum nós não deveremos vir aqui, sem garantir para quem não conhece guerra, o nosso povo é autossuficiente em alimentação. Devemos levar a experiência daqueles que já conseguiram isso em África, construindo boas relações aqui e construir melhores relacionamentos com a Federação Russa por puder satisfazer as necessidades do nosso povo. Eu não sei talvez o tempo alocado seja curto, nós somos obrigados a parar, mas gostaria de terminar dizendo que gostaria de prestar homenagem aos nossos povos, aos nossos povos que lutam. Glória ao povo. Dignidade ao povo. Vitória ao povo. Pátria ou morte, iremos vencer. Obrigado, camaradas.</w:t>
      </w:r>
    </w:p>
    <w:p w14:paraId="6BB4EA06" w14:textId="77777777" w:rsidR="00DA15ED" w:rsidRDefault="00DA15ED" w:rsidP="00DA15ED">
      <w:pPr>
        <w:spacing w:after="0" w:line="240" w:lineRule="auto"/>
        <w:ind w:left="2268"/>
        <w:jc w:val="both"/>
        <w:rPr>
          <w:rFonts w:ascii="Times New Roman" w:eastAsia="Calibri" w:hAnsi="Times New Roman" w:cs="Times New Roman"/>
          <w:color w:val="FF0000"/>
          <w:sz w:val="20"/>
          <w:szCs w:val="20"/>
        </w:rPr>
      </w:pPr>
    </w:p>
    <w:p w14:paraId="0CAC3757" w14:textId="77777777" w:rsidR="00505ABC" w:rsidRPr="009E3A67" w:rsidRDefault="00505ABC" w:rsidP="00DA15ED">
      <w:pPr>
        <w:spacing w:after="0" w:line="240" w:lineRule="auto"/>
        <w:ind w:left="2268"/>
        <w:jc w:val="both"/>
        <w:rPr>
          <w:rFonts w:ascii="Times New Roman" w:eastAsia="Calibri" w:hAnsi="Times New Roman" w:cs="Times New Roman"/>
          <w:color w:val="FF0000"/>
          <w:sz w:val="20"/>
          <w:szCs w:val="20"/>
        </w:rPr>
      </w:pPr>
    </w:p>
    <w:p w14:paraId="1682EB15" w14:textId="77777777" w:rsidR="00DA15ED" w:rsidRPr="009E3A67" w:rsidRDefault="00DA15ED" w:rsidP="002A4418">
      <w:pPr>
        <w:spacing w:after="0" w:line="360" w:lineRule="auto"/>
        <w:ind w:firstLine="851"/>
        <w:jc w:val="both"/>
        <w:rPr>
          <w:rFonts w:ascii="Times New Roman" w:hAnsi="Times New Roman" w:cs="Times New Roman"/>
          <w:kern w:val="2"/>
          <w14:ligatures w14:val="standardContextual"/>
        </w:rPr>
      </w:pPr>
      <w:r w:rsidRPr="009E3A67">
        <w:rPr>
          <w:rFonts w:ascii="Times New Roman" w:eastAsia="Calibri" w:hAnsi="Times New Roman" w:cs="Times New Roman"/>
          <w:sz w:val="24"/>
          <w:szCs w:val="24"/>
        </w:rPr>
        <w:t xml:space="preserve">O discurso incisivo do jovem presidente burkinabê </w:t>
      </w:r>
      <w:r w:rsidRPr="009E3A67">
        <w:rPr>
          <w:rStyle w:val="Refdenotaderodap"/>
          <w:rFonts w:ascii="Times New Roman" w:eastAsia="Calibri" w:hAnsi="Times New Roman" w:cs="Times New Roman"/>
          <w:sz w:val="24"/>
          <w:szCs w:val="24"/>
        </w:rPr>
        <w:footnoteReference w:id="21"/>
      </w:r>
      <w:r w:rsidRPr="009E3A67">
        <w:rPr>
          <w:rFonts w:ascii="Times New Roman" w:eastAsia="Calibri" w:hAnsi="Times New Roman" w:cs="Times New Roman"/>
          <w:i/>
          <w:iCs/>
          <w:sz w:val="24"/>
          <w:szCs w:val="24"/>
        </w:rPr>
        <w:t>Traoré</w:t>
      </w:r>
      <w:r w:rsidRPr="009E3A67">
        <w:rPr>
          <w:rFonts w:ascii="Times New Roman" w:eastAsia="Calibri" w:hAnsi="Times New Roman" w:cs="Times New Roman"/>
          <w:sz w:val="24"/>
          <w:szCs w:val="24"/>
        </w:rPr>
        <w:t xml:space="preserve"> não apenas criticou as interferências ocidentais nos assuntos africanos, mas também condenou outras lideranças que se deixam corromper para facilitar a pilhagem das riquezas africanas pelo Ocidente, deixando seu povo cada vez mais empobrecido. Este discurso renovou a esperança de uma África Ocidental rejuvenescida com os ideais dos líderes assassinados nas décadas anteriores pelo imperialismo europeu.</w:t>
      </w:r>
      <w:r w:rsidRPr="009E3A67">
        <w:rPr>
          <w:rFonts w:ascii="Times New Roman" w:hAnsi="Times New Roman" w:cs="Times New Roman"/>
        </w:rPr>
        <w:t xml:space="preserve"> </w:t>
      </w:r>
    </w:p>
    <w:p w14:paraId="378144B2" w14:textId="77777777" w:rsidR="00DA15ED"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É importante ressaltar que, sem diminuir a coragem do presidente </w:t>
      </w:r>
      <w:r w:rsidRPr="009E3A67">
        <w:rPr>
          <w:rFonts w:ascii="Times New Roman" w:eastAsia="Calibri" w:hAnsi="Times New Roman" w:cs="Times New Roman"/>
          <w:i/>
          <w:iCs/>
          <w:sz w:val="24"/>
          <w:szCs w:val="24"/>
        </w:rPr>
        <w:t>burquinabê</w:t>
      </w:r>
      <w:r w:rsidRPr="009E3A67">
        <w:rPr>
          <w:rFonts w:ascii="Times New Roman" w:eastAsia="Calibri" w:hAnsi="Times New Roman" w:cs="Times New Roman"/>
          <w:sz w:val="24"/>
          <w:szCs w:val="24"/>
        </w:rPr>
        <w:t xml:space="preserve"> </w:t>
      </w:r>
      <w:r w:rsidRPr="009E3A67">
        <w:rPr>
          <w:rFonts w:ascii="Times New Roman" w:eastAsia="Calibri" w:hAnsi="Times New Roman" w:cs="Times New Roman"/>
          <w:i/>
          <w:iCs/>
          <w:sz w:val="24"/>
          <w:szCs w:val="24"/>
        </w:rPr>
        <w:t>Ibrahim Traoré,</w:t>
      </w:r>
      <w:r w:rsidRPr="009E3A67">
        <w:rPr>
          <w:rFonts w:ascii="Times New Roman" w:eastAsia="Calibri" w:hAnsi="Times New Roman" w:cs="Times New Roman"/>
          <w:sz w:val="24"/>
          <w:szCs w:val="24"/>
        </w:rPr>
        <w:t xml:space="preserve"> o presidente russo na nossa percepção, representa a outra face do neocolonialismo europeu na África, seja de forma mansa ou dócil. Historicamente, a Rússia tem fornecido assistência geopolítica, ideológica, militar e alimentar a países africanos parceiros, conforme discutido por </w:t>
      </w:r>
      <w:r w:rsidRPr="009E3A67">
        <w:rPr>
          <w:rFonts w:ascii="Times New Roman" w:eastAsia="Calibri" w:hAnsi="Times New Roman" w:cs="Times New Roman"/>
          <w:i/>
          <w:iCs/>
          <w:sz w:val="24"/>
          <w:szCs w:val="24"/>
        </w:rPr>
        <w:t>Traoré.</w:t>
      </w:r>
      <w:r w:rsidRPr="009E3A67">
        <w:rPr>
          <w:rFonts w:ascii="Times New Roman" w:eastAsia="Calibri" w:hAnsi="Times New Roman" w:cs="Times New Roman"/>
          <w:sz w:val="24"/>
          <w:szCs w:val="24"/>
        </w:rPr>
        <w:t xml:space="preserve"> Isso remonta à entrevista do ex presidente burkinabê </w:t>
      </w:r>
      <w:r w:rsidRPr="009E3A67">
        <w:rPr>
          <w:rFonts w:ascii="Times New Roman" w:eastAsia="Calibri" w:hAnsi="Times New Roman" w:cs="Times New Roman"/>
          <w:i/>
          <w:iCs/>
          <w:sz w:val="24"/>
          <w:szCs w:val="24"/>
        </w:rPr>
        <w:t xml:space="preserve">Thomas Sankara </w:t>
      </w:r>
      <w:r w:rsidRPr="009E3A67">
        <w:rPr>
          <w:rFonts w:ascii="Times New Roman" w:eastAsia="Calibri" w:hAnsi="Times New Roman" w:cs="Times New Roman"/>
          <w:sz w:val="24"/>
          <w:szCs w:val="24"/>
        </w:rPr>
        <w:t>em 1984 disponível no Youtube</w:t>
      </w:r>
      <w:r w:rsidRPr="009E3A67">
        <w:rPr>
          <w:rStyle w:val="Refdenotaderodap"/>
          <w:rFonts w:ascii="Times New Roman" w:eastAsia="Calibri" w:hAnsi="Times New Roman" w:cs="Times New Roman"/>
          <w:sz w:val="24"/>
          <w:szCs w:val="24"/>
        </w:rPr>
        <w:footnoteReference w:id="22"/>
      </w:r>
      <w:r w:rsidRPr="009E3A67">
        <w:rPr>
          <w:rFonts w:ascii="Times New Roman" w:eastAsia="Calibri" w:hAnsi="Times New Roman" w:cs="Times New Roman"/>
          <w:sz w:val="24"/>
          <w:szCs w:val="24"/>
        </w:rPr>
        <w:t>, onde o mesmo rejeita a ajuda alimentar argumentando que isso não resolve os problemas econômicos, mas cria dependência:</w:t>
      </w:r>
    </w:p>
    <w:p w14:paraId="69B687DB" w14:textId="77777777" w:rsidR="00505ABC" w:rsidRPr="009E3A67" w:rsidRDefault="00505ABC" w:rsidP="00505ABC">
      <w:pPr>
        <w:spacing w:after="0" w:line="240" w:lineRule="auto"/>
        <w:ind w:firstLine="851"/>
        <w:jc w:val="both"/>
        <w:rPr>
          <w:rFonts w:ascii="Times New Roman" w:eastAsia="Calibri" w:hAnsi="Times New Roman" w:cs="Times New Roman"/>
          <w:sz w:val="24"/>
          <w:szCs w:val="24"/>
        </w:rPr>
      </w:pPr>
    </w:p>
    <w:p w14:paraId="121006B5" w14:textId="689A8097" w:rsidR="00DA15ED" w:rsidRPr="009E3A67" w:rsidRDefault="00DA15ED" w:rsidP="002A4418">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xml:space="preserve">A ajuda externa não pode aparecer como uma solução milagrosa para todos os problemas econômicos, a ajuda externa é </w:t>
      </w:r>
      <w:r w:rsidR="002A4418" w:rsidRPr="009E3A67">
        <w:rPr>
          <w:rFonts w:ascii="Times New Roman" w:eastAsia="Calibri" w:hAnsi="Times New Roman" w:cs="Times New Roman"/>
          <w:sz w:val="20"/>
          <w:szCs w:val="20"/>
        </w:rPr>
        <w:t>necessária,</w:t>
      </w:r>
      <w:r w:rsidRPr="009E3A67">
        <w:rPr>
          <w:rFonts w:ascii="Times New Roman" w:eastAsia="Calibri" w:hAnsi="Times New Roman" w:cs="Times New Roman"/>
          <w:sz w:val="20"/>
          <w:szCs w:val="20"/>
        </w:rPr>
        <w:t xml:space="preserve"> mas primeiro temos de começar a trabalhar, se não trabalhar as soluções do FMI surgem como soluções facilitistas. A ajuda alimentar que recebemos não nos ajudou a desenvolver. Criou uma mentalidade pedinte, estendemos a mão para comer, isso é mau. Segundo,</w:t>
      </w:r>
      <w:r w:rsidR="00737198" w:rsidRPr="009E3A67">
        <w:rPr>
          <w:rFonts w:ascii="Times New Roman" w:eastAsia="Calibri" w:hAnsi="Times New Roman" w:cs="Times New Roman"/>
          <w:sz w:val="20"/>
          <w:szCs w:val="20"/>
        </w:rPr>
        <w:t xml:space="preserve"> </w:t>
      </w:r>
      <w:r w:rsidRPr="009E3A67">
        <w:rPr>
          <w:rFonts w:ascii="Times New Roman" w:eastAsia="Calibri" w:hAnsi="Times New Roman" w:cs="Times New Roman"/>
          <w:sz w:val="20"/>
          <w:szCs w:val="20"/>
        </w:rPr>
        <w:t xml:space="preserve">a ajuda alimentar faz com que os camponeses já não possam produzir, porque quando produzem já não podem vender. O excedente dos </w:t>
      </w:r>
      <w:r w:rsidR="002A4418" w:rsidRPr="009E3A67">
        <w:rPr>
          <w:rFonts w:ascii="Times New Roman" w:eastAsia="Calibri" w:hAnsi="Times New Roman" w:cs="Times New Roman"/>
          <w:sz w:val="20"/>
          <w:szCs w:val="20"/>
        </w:rPr>
        <w:t>agricultores</w:t>
      </w:r>
      <w:r w:rsidRPr="009E3A67">
        <w:rPr>
          <w:rFonts w:ascii="Times New Roman" w:eastAsia="Calibri" w:hAnsi="Times New Roman" w:cs="Times New Roman"/>
          <w:sz w:val="20"/>
          <w:szCs w:val="20"/>
        </w:rPr>
        <w:t xml:space="preserve"> de outros países é trazido para cá, queremos </w:t>
      </w:r>
      <w:r w:rsidR="002A4418" w:rsidRPr="009E3A67">
        <w:rPr>
          <w:rFonts w:ascii="Times New Roman" w:eastAsia="Calibri" w:hAnsi="Times New Roman" w:cs="Times New Roman"/>
          <w:sz w:val="20"/>
          <w:szCs w:val="20"/>
        </w:rPr>
        <w:t>outras coisas</w:t>
      </w:r>
      <w:r w:rsidRPr="009E3A67">
        <w:rPr>
          <w:rFonts w:ascii="Times New Roman" w:eastAsia="Calibri" w:hAnsi="Times New Roman" w:cs="Times New Roman"/>
          <w:sz w:val="20"/>
          <w:szCs w:val="20"/>
        </w:rPr>
        <w:t xml:space="preserve">, quem nos quiser realmente ajudar, pode dar-nos arados, </w:t>
      </w:r>
      <w:r w:rsidR="002A4418" w:rsidRPr="009E3A67">
        <w:rPr>
          <w:rFonts w:ascii="Times New Roman" w:eastAsia="Calibri" w:hAnsi="Times New Roman" w:cs="Times New Roman"/>
          <w:sz w:val="20"/>
          <w:szCs w:val="20"/>
        </w:rPr>
        <w:t>tratores</w:t>
      </w:r>
      <w:r w:rsidRPr="009E3A67">
        <w:rPr>
          <w:rFonts w:ascii="Times New Roman" w:eastAsia="Calibri" w:hAnsi="Times New Roman" w:cs="Times New Roman"/>
          <w:sz w:val="20"/>
          <w:szCs w:val="20"/>
        </w:rPr>
        <w:t xml:space="preserve">, fertilizante, </w:t>
      </w:r>
      <w:r w:rsidR="002A4418" w:rsidRPr="009E3A67">
        <w:rPr>
          <w:rFonts w:ascii="Times New Roman" w:eastAsia="Calibri" w:hAnsi="Times New Roman" w:cs="Times New Roman"/>
          <w:sz w:val="20"/>
          <w:szCs w:val="20"/>
        </w:rPr>
        <w:t>inseticidas</w:t>
      </w:r>
      <w:r w:rsidRPr="009E3A67">
        <w:rPr>
          <w:rFonts w:ascii="Times New Roman" w:eastAsia="Calibri" w:hAnsi="Times New Roman" w:cs="Times New Roman"/>
          <w:sz w:val="20"/>
          <w:szCs w:val="20"/>
        </w:rPr>
        <w:t>, regadores de água, máquinas, represas, isso é ajuda alimentar. Os que vêm com trigo, painço, milho ou leite, não nos estão a ajudar.</w:t>
      </w:r>
    </w:p>
    <w:p w14:paraId="5BC82B38" w14:textId="77777777" w:rsidR="00A7709C" w:rsidRPr="009E3A67" w:rsidRDefault="00A7709C" w:rsidP="00DA15ED">
      <w:pPr>
        <w:spacing w:after="0" w:line="240" w:lineRule="auto"/>
        <w:ind w:left="2268" w:firstLine="709"/>
        <w:jc w:val="both"/>
        <w:rPr>
          <w:rFonts w:ascii="Times New Roman" w:eastAsia="Calibri" w:hAnsi="Times New Roman" w:cs="Times New Roman"/>
          <w:sz w:val="20"/>
          <w:szCs w:val="20"/>
        </w:rPr>
      </w:pPr>
    </w:p>
    <w:p w14:paraId="60D62F9A"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Portanto, essa crítica se estende ao imperialismo russo, que possivelmente estará criando líderes africanos subservientes em vez de líderes fortes capazes de transformar suas economias em autossuficientes. Por isso, reiteramos </w:t>
      </w:r>
      <w:r w:rsidRPr="009E3A67">
        <w:rPr>
          <w:rFonts w:ascii="Times New Roman" w:eastAsia="Calibri" w:hAnsi="Times New Roman" w:cs="Times New Roman"/>
          <w:i/>
          <w:iCs/>
          <w:sz w:val="24"/>
          <w:szCs w:val="24"/>
        </w:rPr>
        <w:t>Putin</w:t>
      </w:r>
      <w:r w:rsidRPr="009E3A67">
        <w:rPr>
          <w:rFonts w:ascii="Times New Roman" w:eastAsia="Calibri" w:hAnsi="Times New Roman" w:cs="Times New Roman"/>
          <w:sz w:val="24"/>
          <w:szCs w:val="24"/>
        </w:rPr>
        <w:t xml:space="preserve"> como parte do outro pacto imperialista europeu no contexto pós-colonial africano.</w:t>
      </w:r>
    </w:p>
    <w:p w14:paraId="13ED0C2D"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Por outro lado, destaca-se também a ascensão recente de dois jovens políticos senegaleses revolucionários, </w:t>
      </w:r>
      <w:r w:rsidRPr="009E3A67">
        <w:rPr>
          <w:rFonts w:ascii="Times New Roman" w:eastAsia="Calibri" w:hAnsi="Times New Roman" w:cs="Times New Roman"/>
          <w:i/>
          <w:iCs/>
          <w:sz w:val="24"/>
          <w:szCs w:val="24"/>
        </w:rPr>
        <w:t>Bassirou Faye e Ousmane Sonko,</w:t>
      </w:r>
      <w:r w:rsidRPr="009E3A67">
        <w:rPr>
          <w:rFonts w:ascii="Times New Roman" w:eastAsia="Calibri" w:hAnsi="Times New Roman" w:cs="Times New Roman"/>
          <w:sz w:val="24"/>
          <w:szCs w:val="24"/>
        </w:rPr>
        <w:t xml:space="preserve"> que neste ano conseguiram derrubar o antigo regime ditatorial de </w:t>
      </w:r>
      <w:r w:rsidRPr="009E3A67">
        <w:rPr>
          <w:rFonts w:ascii="Times New Roman" w:eastAsia="Calibri" w:hAnsi="Times New Roman" w:cs="Times New Roman"/>
          <w:i/>
          <w:iCs/>
          <w:sz w:val="24"/>
          <w:szCs w:val="24"/>
        </w:rPr>
        <w:t>Macky Sall</w:t>
      </w:r>
      <w:r w:rsidRPr="009E3A67">
        <w:rPr>
          <w:rFonts w:ascii="Times New Roman" w:eastAsia="Calibri" w:hAnsi="Times New Roman" w:cs="Times New Roman"/>
          <w:sz w:val="24"/>
          <w:szCs w:val="24"/>
        </w:rPr>
        <w:t xml:space="preserve"> no Senegal por meio de eleições presidenciais. </w:t>
      </w:r>
      <w:r w:rsidRPr="009E3A67">
        <w:rPr>
          <w:rFonts w:ascii="Times New Roman" w:eastAsia="Calibri" w:hAnsi="Times New Roman" w:cs="Times New Roman"/>
          <w:i/>
          <w:iCs/>
          <w:sz w:val="24"/>
          <w:szCs w:val="24"/>
        </w:rPr>
        <w:t>Faye e Sonko</w:t>
      </w:r>
      <w:r w:rsidRPr="009E3A67">
        <w:rPr>
          <w:rFonts w:ascii="Times New Roman" w:eastAsia="Calibri" w:hAnsi="Times New Roman" w:cs="Times New Roman"/>
          <w:sz w:val="24"/>
          <w:szCs w:val="24"/>
        </w:rPr>
        <w:t xml:space="preserve"> agora são vistos como os presidentes e vice-presidentes mais jovens eleitos na África subsaariana. Ambos ganharam as eleições com discursos políticos que refletem o espírito de uma África em ascensão.</w:t>
      </w:r>
    </w:p>
    <w:p w14:paraId="07F8DD0A" w14:textId="77777777" w:rsidR="00DA15ED"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 Em um discurso viral disponível no canal </w:t>
      </w:r>
      <w:r w:rsidRPr="009E3A67">
        <w:rPr>
          <w:rFonts w:ascii="Times New Roman" w:eastAsia="Calibri" w:hAnsi="Times New Roman" w:cs="Times New Roman"/>
          <w:i/>
          <w:iCs/>
          <w:sz w:val="24"/>
          <w:szCs w:val="24"/>
        </w:rPr>
        <w:t>"Isto é África"</w:t>
      </w:r>
      <w:r w:rsidRPr="009E3A67">
        <w:rPr>
          <w:rFonts w:ascii="Times New Roman" w:eastAsia="Calibri" w:hAnsi="Times New Roman" w:cs="Times New Roman"/>
          <w:sz w:val="24"/>
          <w:szCs w:val="24"/>
        </w:rPr>
        <w:t xml:space="preserve"> </w:t>
      </w:r>
      <w:r w:rsidRPr="009E3A67">
        <w:rPr>
          <w:rStyle w:val="Refdenotaderodap"/>
          <w:rFonts w:ascii="Times New Roman" w:eastAsia="Calibri" w:hAnsi="Times New Roman" w:cs="Times New Roman"/>
          <w:sz w:val="24"/>
          <w:szCs w:val="24"/>
        </w:rPr>
        <w:footnoteReference w:id="23"/>
      </w:r>
      <w:r w:rsidRPr="009E3A67">
        <w:rPr>
          <w:rFonts w:ascii="Times New Roman" w:eastAsia="Calibri" w:hAnsi="Times New Roman" w:cs="Times New Roman"/>
          <w:sz w:val="24"/>
          <w:szCs w:val="24"/>
        </w:rPr>
        <w:t xml:space="preserve">no Youtube, </w:t>
      </w:r>
      <w:r w:rsidRPr="009E3A67">
        <w:rPr>
          <w:rFonts w:ascii="Times New Roman" w:eastAsia="Calibri" w:hAnsi="Times New Roman" w:cs="Times New Roman"/>
          <w:i/>
          <w:iCs/>
          <w:sz w:val="24"/>
          <w:szCs w:val="24"/>
        </w:rPr>
        <w:t>Ousmane Sonko</w:t>
      </w:r>
      <w:r w:rsidRPr="009E3A67">
        <w:rPr>
          <w:rFonts w:ascii="Times New Roman" w:eastAsia="Calibri" w:hAnsi="Times New Roman" w:cs="Times New Roman"/>
          <w:sz w:val="24"/>
          <w:szCs w:val="24"/>
        </w:rPr>
        <w:t>, o atual vice-presidente do Senegal, na época um dos candidatos à presidência nas eleições eleitorais do Senegal de 2024, critica o neocolonialismo francês e ressuscita a bandeira do pan-africanismo na África contemporânea:</w:t>
      </w:r>
    </w:p>
    <w:p w14:paraId="73EA59F7" w14:textId="77777777" w:rsidR="00AD0A09" w:rsidRPr="009E3A67" w:rsidRDefault="00AD0A09" w:rsidP="00AD0A09">
      <w:pPr>
        <w:spacing w:after="0" w:line="240" w:lineRule="auto"/>
        <w:ind w:firstLine="851"/>
        <w:jc w:val="both"/>
        <w:rPr>
          <w:rFonts w:ascii="Times New Roman" w:eastAsia="Calibri" w:hAnsi="Times New Roman" w:cs="Times New Roman"/>
          <w:sz w:val="24"/>
          <w:szCs w:val="24"/>
        </w:rPr>
      </w:pPr>
    </w:p>
    <w:p w14:paraId="6965E658" w14:textId="77777777" w:rsidR="00DA15ED" w:rsidRPr="009E3A67" w:rsidRDefault="00DA15ED" w:rsidP="002A4418">
      <w:pPr>
        <w:spacing w:after="0"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xml:space="preserve">Já é hora da França tirar o joelho do nosso pescoço e pôr fim a esta opressão injusta. Séculos de miséria, tráfico humano, colonização e a neocolonização causaram um sofrimento imensurável. É hora de acabar com esse ciclo de opressão. Já era hora da França nos deixar em paz. É hora da França para pegar uma fila de seus vizinhos europeus e aprenda uma lição valiosa sobre independência. A Alemanha é a principal potência económica da Europa superando significativamente a França que é classificado como o terceiro ou a quarta maior potência económica a nível mundial. A Alemanha não explora nenhum país, nenhuma colônia, posso mencionar a Itália, [...] a Espanha, que tiveram colônias antes, mas que não exploram </w:t>
      </w:r>
      <w:r w:rsidR="002A4418" w:rsidRPr="009E3A67">
        <w:rPr>
          <w:rFonts w:ascii="Times New Roman" w:eastAsia="Calibri" w:hAnsi="Times New Roman" w:cs="Times New Roman"/>
          <w:sz w:val="20"/>
          <w:szCs w:val="20"/>
        </w:rPr>
        <w:t>ninguém, não</w:t>
      </w:r>
      <w:r w:rsidRPr="009E3A67">
        <w:rPr>
          <w:rFonts w:ascii="Times New Roman" w:eastAsia="Calibri" w:hAnsi="Times New Roman" w:cs="Times New Roman"/>
          <w:sz w:val="20"/>
          <w:szCs w:val="20"/>
        </w:rPr>
        <w:t xml:space="preserve"> interfere, e não impõem líderes em suas ex-colônias. Com que base a França acredita que pode continuar impor líderes e fazer escolhas em nosso nome? Isto tem de acabar e a África emergente, a juventude africana, as elites africanas e a diáspora africana estão todos unidos em dizer não, não podemos mais continuar. A hipocrisia da França é evidente e presente na vida diária. Vamos examinar os casos de Mali e Chade, como principais exemplos desta hipocrisia. No Chade onde o processo constitucional foi interrompido, França aplaudiu e o seu presidente visitou para consagrar oficialmente os novos reis na cerimônia de coroação. No Mali, onde não é o processo constitucional que foi </w:t>
      </w:r>
      <w:r w:rsidR="002A4418" w:rsidRPr="009E3A67">
        <w:rPr>
          <w:rFonts w:ascii="Times New Roman" w:eastAsia="Calibri" w:hAnsi="Times New Roman" w:cs="Times New Roman"/>
          <w:sz w:val="20"/>
          <w:szCs w:val="20"/>
        </w:rPr>
        <w:t>interrompido,</w:t>
      </w:r>
      <w:r w:rsidRPr="009E3A67">
        <w:rPr>
          <w:rFonts w:ascii="Times New Roman" w:eastAsia="Calibri" w:hAnsi="Times New Roman" w:cs="Times New Roman"/>
          <w:sz w:val="20"/>
          <w:szCs w:val="20"/>
        </w:rPr>
        <w:t xml:space="preserve"> mas o processo de transição, a França condenou e até arrumou as coisas dizendo que está saindo do Mali. Isso é hipocrisia, é o duplo padrão, é a linguagem dupla que a França emprega nas suas relações com a África. Durante o interrogatório do senhor John Eve Ledrian sobre a situação na Costa do Marfim e a decisão da França de permitir um terceiro mandato, ele deu uma explicação clara, ele afirmou que enquanto ele aceitou o terceiro mandato para Ouatara ele recusa para a Bielorrússia, ele enfatizou que a França condenou a situação na Bielorrússia e incentivou ativamente a União Europeia a fazer o mesmo. Ludrian explica que na Bielorrússia milhões protestaram ao contrário da Costa do Marfim, onde não houve manifestações em massa nas ruas. É assim que a França lida com as questões africanas.</w:t>
      </w:r>
    </w:p>
    <w:p w14:paraId="0542B1E3" w14:textId="77777777" w:rsidR="00DA15ED" w:rsidRPr="009E3A67" w:rsidRDefault="00DA15ED" w:rsidP="00DA15ED">
      <w:pPr>
        <w:spacing w:after="0" w:line="240" w:lineRule="auto"/>
        <w:ind w:left="2268"/>
        <w:jc w:val="both"/>
        <w:rPr>
          <w:rFonts w:ascii="Times New Roman" w:eastAsia="Calibri" w:hAnsi="Times New Roman" w:cs="Times New Roman"/>
          <w:sz w:val="20"/>
          <w:szCs w:val="20"/>
        </w:rPr>
      </w:pPr>
    </w:p>
    <w:p w14:paraId="6AAF04DD" w14:textId="77777777" w:rsidR="00DA15ED" w:rsidRPr="009E3A67" w:rsidRDefault="00DA15ED" w:rsidP="002A4418">
      <w:pPr>
        <w:spacing w:line="360" w:lineRule="auto"/>
        <w:ind w:firstLine="709"/>
        <w:jc w:val="both"/>
        <w:rPr>
          <w:rFonts w:ascii="Times New Roman" w:eastAsia="Calibri" w:hAnsi="Times New Roman" w:cs="Times New Roman"/>
          <w:sz w:val="24"/>
          <w:szCs w:val="24"/>
        </w:rPr>
      </w:pPr>
      <w:r w:rsidRPr="009E3A67">
        <w:rPr>
          <w:rFonts w:ascii="Times New Roman" w:eastAsia="Calibri" w:hAnsi="Times New Roman" w:cs="Times New Roman"/>
          <w:i/>
          <w:iCs/>
          <w:sz w:val="24"/>
          <w:szCs w:val="24"/>
        </w:rPr>
        <w:t>Sonko</w:t>
      </w:r>
      <w:r w:rsidRPr="009E3A67">
        <w:rPr>
          <w:rFonts w:ascii="Times New Roman" w:eastAsia="Calibri" w:hAnsi="Times New Roman" w:cs="Times New Roman"/>
          <w:sz w:val="24"/>
          <w:szCs w:val="24"/>
        </w:rPr>
        <w:t xml:space="preserve"> ainda acrescenta que:</w:t>
      </w:r>
    </w:p>
    <w:p w14:paraId="575A835A" w14:textId="270AB1C3" w:rsidR="00DA15ED" w:rsidRPr="009E3A67" w:rsidRDefault="00DA15ED" w:rsidP="002A4418">
      <w:pPr>
        <w:spacing w:line="240" w:lineRule="auto"/>
        <w:ind w:left="2268"/>
        <w:jc w:val="both"/>
        <w:rPr>
          <w:rFonts w:ascii="Times New Roman" w:eastAsia="Calibri" w:hAnsi="Times New Roman" w:cs="Times New Roman"/>
          <w:sz w:val="20"/>
          <w:szCs w:val="20"/>
        </w:rPr>
      </w:pPr>
      <w:r w:rsidRPr="009E3A67">
        <w:rPr>
          <w:rFonts w:ascii="Times New Roman" w:eastAsia="Calibri" w:hAnsi="Times New Roman" w:cs="Times New Roman"/>
          <w:sz w:val="20"/>
          <w:szCs w:val="20"/>
        </w:rPr>
        <w:t xml:space="preserve">Pessoalmente não esperamos absolutamente nada da França, desejamos que ela pare de se </w:t>
      </w:r>
      <w:r w:rsidR="00737198" w:rsidRPr="009E3A67">
        <w:rPr>
          <w:rFonts w:ascii="Times New Roman" w:eastAsia="Calibri" w:hAnsi="Times New Roman" w:cs="Times New Roman"/>
          <w:sz w:val="20"/>
          <w:szCs w:val="20"/>
        </w:rPr>
        <w:t>intrometer</w:t>
      </w:r>
      <w:r w:rsidRPr="009E3A67">
        <w:rPr>
          <w:rFonts w:ascii="Times New Roman" w:eastAsia="Calibri" w:hAnsi="Times New Roman" w:cs="Times New Roman"/>
          <w:sz w:val="20"/>
          <w:szCs w:val="20"/>
        </w:rPr>
        <w:t xml:space="preserve"> em nossos assuntos para que o povo de Senegal possam exercer a sua liberdade de escolha em vês de sendo influenciado pela seleção de um candidato pela França, usando as táticas que conhecemos, começando segmentar indivíduos adornando-os com a legião de honra ou uma classificação noturna semelhante alistando-os em lojas maçônicas e informando-os para se prepararem pois eles serão os próximos da fila, até mesmo a hipótese de que Macky Sall pode não ter sucesso , sabemos quem está sendo preparado pela França. Isso deve chegar ao fim. Isso não ocorrerá mais dessa maneira, vamos ser claros, não temos absolutamente nada contra o povo francês, na França, tanto políticos quanto as vozes dos cidadãos. [..] A França deve se preparar para uma ruptura definitiva e retirar-se completamente da África. A África pertence aos africanos não a França, ela não pertence a mais ninguém, nem a China, nem os Estados Unidos, nem qualquer outra pessoa.  </w:t>
      </w:r>
    </w:p>
    <w:p w14:paraId="466DF135" w14:textId="77777777" w:rsidR="00DA15ED" w:rsidRPr="009E3A67" w:rsidRDefault="00DA15ED" w:rsidP="00DA15ED">
      <w:pPr>
        <w:spacing w:after="0" w:line="240" w:lineRule="auto"/>
        <w:ind w:left="2268"/>
        <w:jc w:val="both"/>
        <w:rPr>
          <w:rFonts w:ascii="Times New Roman" w:eastAsia="Calibri" w:hAnsi="Times New Roman" w:cs="Times New Roman"/>
          <w:sz w:val="20"/>
          <w:szCs w:val="20"/>
        </w:rPr>
      </w:pPr>
    </w:p>
    <w:p w14:paraId="02CB4C1C" w14:textId="4DC9A5F5"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O discurso de Ousmane Sonko representa o surgimento de uma nova mentalidade política na África Ocidental, marcada pela resistência ao neocolonialismo francês que ainda busca controlar e </w:t>
      </w:r>
      <w:r w:rsidR="00737198" w:rsidRPr="009E3A67">
        <w:rPr>
          <w:rFonts w:ascii="Times New Roman" w:eastAsia="Calibri" w:hAnsi="Times New Roman" w:cs="Times New Roman"/>
          <w:sz w:val="24"/>
          <w:szCs w:val="24"/>
        </w:rPr>
        <w:t>subjugar</w:t>
      </w:r>
      <w:r w:rsidRPr="009E3A67">
        <w:rPr>
          <w:rFonts w:ascii="Times New Roman" w:eastAsia="Calibri" w:hAnsi="Times New Roman" w:cs="Times New Roman"/>
          <w:sz w:val="24"/>
          <w:szCs w:val="24"/>
        </w:rPr>
        <w:t xml:space="preserve"> suas antigas colônias, como o Senegal. Sonko revitaliza o ideal panafricanista e inspira líderes da nova geração a adotarem uma postura nacionalista em defesa da soberania africana. Seu discurso enfatiza a responsabilidade dos próprios africanos na resolução dos problemas do continente, rejeitando interferências externas — posicionamento semelhante ao de Ibrahim Traoré, citado anteriormente. Ambos evocam a célebre frase do antigo presidente ganês panafricanista Kwame Nkrumah (1957): “A África pertence aos africanos”.</w:t>
      </w:r>
    </w:p>
    <w:p w14:paraId="4C337715"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Convém realçar que, embora os discursos políticos não sustentem nem alimentem as pessoas, pois, são as políticas públicas que efetivamente melhoram as condições sociais, ainda assim, corroboramos que a África necessitava de uma nova onda insurgente para repensar seu futuro e sua agenda global. Pois, um povo sem sua própria agenda estará fadado a seguir as agendas e discussões de outros povos.</w:t>
      </w:r>
    </w:p>
    <w:p w14:paraId="6D6C4136" w14:textId="093E6CD4"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Diante dessa conjuntura, os desafios enfrentados pelos líderes insurgentes africanos dessa geração, que lutam contra a imposição do subdesenvolvimento no continente vão além do neocolonialismo. Esses desafios incluem também os monopólios sobre a pilhagem de minerais estratégicos globais, que são alvos de cobiça por parte das grandes potências, como foi o caso do assassinato de Patrice Lumumba no Congo na década de 1960 por potências imperialistas ocidentais (</w:t>
      </w:r>
      <w:r w:rsidR="00DD480E" w:rsidRPr="009E3A67">
        <w:rPr>
          <w:rFonts w:ascii="Times New Roman" w:eastAsia="Calibri" w:hAnsi="Times New Roman" w:cs="Times New Roman"/>
          <w:sz w:val="24"/>
          <w:szCs w:val="24"/>
        </w:rPr>
        <w:t>TATI</w:t>
      </w:r>
      <w:r w:rsidRPr="009E3A67">
        <w:rPr>
          <w:rFonts w:ascii="Times New Roman" w:eastAsia="Calibri" w:hAnsi="Times New Roman" w:cs="Times New Roman"/>
          <w:sz w:val="24"/>
          <w:szCs w:val="24"/>
        </w:rPr>
        <w:t>, 2022). Sem deixar de mencionar que, a colaboração de certas lideranças com os interesses ocidentais tem exacerbado a pobreza, a fragilidade estrutural e militar, além de contribuir para a divisão do continente em estados individualmente frágeis e impotentes (</w:t>
      </w:r>
      <w:r w:rsidR="00DD480E" w:rsidRPr="009E3A67">
        <w:rPr>
          <w:rFonts w:ascii="Times New Roman" w:eastAsia="Calibri" w:hAnsi="Times New Roman" w:cs="Times New Roman"/>
          <w:sz w:val="24"/>
          <w:szCs w:val="24"/>
        </w:rPr>
        <w:t>MOORE</w:t>
      </w:r>
      <w:r w:rsidRPr="009E3A67">
        <w:rPr>
          <w:rFonts w:ascii="Times New Roman" w:eastAsia="Calibri" w:hAnsi="Times New Roman" w:cs="Times New Roman"/>
          <w:sz w:val="24"/>
          <w:szCs w:val="24"/>
        </w:rPr>
        <w:t xml:space="preserve">, 2010). </w:t>
      </w:r>
    </w:p>
    <w:p w14:paraId="6D0EAAA0" w14:textId="77777777" w:rsidR="00DA15ED" w:rsidRDefault="00DA15ED" w:rsidP="00B0246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Assim, essas realidades geopolíticas e econômicas continuam a perpetuar o subdesenvolvimento africano, representando sérias ameaças para o futuro do continente na era contemporânea.</w:t>
      </w:r>
    </w:p>
    <w:p w14:paraId="665C133A" w14:textId="77777777" w:rsidR="00B02468" w:rsidRPr="009E3A67" w:rsidRDefault="00B02468" w:rsidP="005E5E1B">
      <w:pPr>
        <w:spacing w:after="0" w:line="240" w:lineRule="auto"/>
        <w:ind w:firstLine="851"/>
        <w:jc w:val="both"/>
        <w:rPr>
          <w:rFonts w:ascii="Times New Roman" w:eastAsia="Calibri" w:hAnsi="Times New Roman" w:cs="Times New Roman"/>
          <w:sz w:val="24"/>
          <w:szCs w:val="24"/>
        </w:rPr>
      </w:pPr>
    </w:p>
    <w:p w14:paraId="66B4BF9F" w14:textId="70C187C5" w:rsidR="00DA15ED" w:rsidRPr="009E3A67" w:rsidRDefault="005E5E1B" w:rsidP="00B02468">
      <w:pPr>
        <w:pStyle w:val="Ttulo1"/>
        <w:spacing w:before="0" w:line="360" w:lineRule="auto"/>
        <w:rPr>
          <w:rFonts w:ascii="Times New Roman" w:eastAsia="Calibri" w:hAnsi="Times New Roman" w:cs="Times New Roman"/>
          <w:b/>
          <w:color w:val="auto"/>
          <w:sz w:val="24"/>
          <w:szCs w:val="24"/>
        </w:rPr>
      </w:pPr>
      <w:r>
        <w:rPr>
          <w:rFonts w:ascii="Times New Roman" w:eastAsia="Calibri" w:hAnsi="Times New Roman" w:cs="Times New Roman"/>
          <w:b/>
          <w:color w:val="auto"/>
          <w:sz w:val="24"/>
          <w:szCs w:val="24"/>
        </w:rPr>
        <w:t>3</w:t>
      </w:r>
      <w:r w:rsidR="00234544" w:rsidRPr="009E3A67">
        <w:rPr>
          <w:rFonts w:ascii="Times New Roman" w:eastAsia="Calibri" w:hAnsi="Times New Roman" w:cs="Times New Roman"/>
          <w:b/>
          <w:color w:val="auto"/>
          <w:sz w:val="24"/>
          <w:szCs w:val="24"/>
        </w:rPr>
        <w:t xml:space="preserve">. </w:t>
      </w:r>
      <w:r w:rsidR="00DA15ED" w:rsidRPr="009E3A67">
        <w:rPr>
          <w:rFonts w:ascii="Times New Roman" w:eastAsia="Calibri" w:hAnsi="Times New Roman" w:cs="Times New Roman"/>
          <w:b/>
          <w:color w:val="auto"/>
          <w:sz w:val="24"/>
          <w:szCs w:val="24"/>
        </w:rPr>
        <w:t>CONSIDERAÇÕES FINAIS</w:t>
      </w:r>
    </w:p>
    <w:p w14:paraId="3F282E93"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Ao analisar o subdesenvolvimento africano, torna-se evidente que ele é resultado do legado colonial, que continua a subjugar os estados políticos contemporâneos. A falta de autonomia, as ditaduras, a fome, a miséria, a desvalorização das moedas e a inflação econômica são reflexos diretos da influência europeia sobre a África. Portanto, a Europa não possui autoridade moral para criticar o atraso da África no contexto global, pois suas imposições de sistemas ideológicos — políticos, econômicos e educacionais — nos estados africanos pós-coloniais têm contribuído significativamente para o atraso atual do continente africano.</w:t>
      </w:r>
    </w:p>
    <w:p w14:paraId="038F81E4" w14:textId="77777777" w:rsidR="00DA15ED" w:rsidRPr="009E3A67" w:rsidRDefault="00DA15ED" w:rsidP="002A4418">
      <w:pPr>
        <w:spacing w:after="0" w:line="360" w:lineRule="auto"/>
        <w:ind w:firstLine="851"/>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Dito isso, os desafios da descolonização africana, que envolvem a proteção dos recursos minerais e a busca pela autonomia política e econômica, requerem o engajamento não apenas de líderes como </w:t>
      </w:r>
      <w:r w:rsidRPr="009E3A67">
        <w:rPr>
          <w:rFonts w:ascii="Times New Roman" w:eastAsia="Calibri" w:hAnsi="Times New Roman" w:cs="Times New Roman"/>
          <w:i/>
          <w:iCs/>
          <w:sz w:val="24"/>
          <w:szCs w:val="24"/>
        </w:rPr>
        <w:t>Sonko, Faye, Goïta, Traoré,</w:t>
      </w:r>
      <w:r w:rsidRPr="009E3A67">
        <w:rPr>
          <w:rFonts w:ascii="Times New Roman" w:eastAsia="Calibri" w:hAnsi="Times New Roman" w:cs="Times New Roman"/>
          <w:sz w:val="24"/>
          <w:szCs w:val="24"/>
        </w:rPr>
        <w:t xml:space="preserve"> mas também da juventude africana e de sua diáspora negra, unidas pelo panafricanismo. Essa união é essencial para transformar a África em um mercado financeiramente robusto e autossuficiente, através da diversificação econômica e do fortalecimento industrial, reduzindo interferências externas e promovendo uma liderança global independente que possa significativamente melhorar a qualidade de vida das populações africanas subdesenvolvidas.</w:t>
      </w:r>
    </w:p>
    <w:p w14:paraId="01B3180F" w14:textId="77777777" w:rsidR="00E83AC6" w:rsidRDefault="00DA15ED" w:rsidP="002A4418">
      <w:pPr>
        <w:pStyle w:val="Ttulo1"/>
        <w:spacing w:line="360" w:lineRule="auto"/>
        <w:rPr>
          <w:rFonts w:ascii="Times New Roman" w:eastAsia="Calibri" w:hAnsi="Times New Roman" w:cs="Times New Roman"/>
          <w:b/>
          <w:bCs/>
          <w:color w:val="auto"/>
          <w:sz w:val="24"/>
          <w:szCs w:val="24"/>
          <w:lang w:val="pt-BR"/>
        </w:rPr>
      </w:pPr>
      <w:r w:rsidRPr="009E3A67">
        <w:rPr>
          <w:rFonts w:ascii="Times New Roman" w:eastAsia="Calibri" w:hAnsi="Times New Roman" w:cs="Times New Roman"/>
          <w:b/>
          <w:bCs/>
          <w:color w:val="auto"/>
          <w:sz w:val="24"/>
          <w:szCs w:val="24"/>
          <w:lang w:val="pt-BR"/>
        </w:rPr>
        <w:t>REFERÊNCIAS</w:t>
      </w:r>
    </w:p>
    <w:p w14:paraId="3F2DF194" w14:textId="77777777" w:rsidR="00E83AC6" w:rsidRPr="00E83AC6" w:rsidRDefault="00E83AC6" w:rsidP="00E83AC6"/>
    <w:p w14:paraId="7A485605" w14:textId="77777777" w:rsidR="00DA15ED" w:rsidRPr="009E3A67" w:rsidRDefault="00DA15ED" w:rsidP="00E83AC6">
      <w:pPr>
        <w:pStyle w:val="Ttulo1"/>
        <w:numPr>
          <w:ilvl w:val="0"/>
          <w:numId w:val="6"/>
        </w:numPr>
        <w:spacing w:before="0" w:line="240" w:lineRule="auto"/>
        <w:ind w:left="0" w:firstLine="0"/>
        <w:jc w:val="both"/>
        <w:rPr>
          <w:rFonts w:ascii="Times New Roman" w:hAnsi="Times New Roman" w:cs="Times New Roman"/>
          <w:color w:val="auto"/>
          <w:sz w:val="24"/>
          <w:szCs w:val="24"/>
        </w:rPr>
      </w:pPr>
      <w:r w:rsidRPr="009E3A67">
        <w:rPr>
          <w:rFonts w:ascii="Times New Roman" w:hAnsi="Times New Roman" w:cs="Times New Roman"/>
          <w:color w:val="auto"/>
          <w:sz w:val="24"/>
          <w:szCs w:val="24"/>
        </w:rPr>
        <w:t>Abel Chivukuvuku a 360⁰ sobre o praja-ja, fpu, e muito mais.</w:t>
      </w:r>
      <w:r w:rsidR="002A4418" w:rsidRPr="009E3A67">
        <w:rPr>
          <w:rFonts w:ascii="Times New Roman" w:hAnsi="Times New Roman" w:cs="Times New Roman"/>
          <w:color w:val="auto"/>
          <w:sz w:val="24"/>
          <w:szCs w:val="24"/>
        </w:rPr>
        <w:t xml:space="preserve"> </w:t>
      </w:r>
      <w:r w:rsidRPr="009E3A67">
        <w:rPr>
          <w:rFonts w:ascii="Times New Roman" w:hAnsi="Times New Roman" w:cs="Times New Roman"/>
          <w:color w:val="auto"/>
          <w:sz w:val="24"/>
          <w:szCs w:val="24"/>
        </w:rPr>
        <w:t xml:space="preserve">Disponível em: </w:t>
      </w:r>
      <w:hyperlink r:id="rId21" w:history="1">
        <w:r w:rsidR="002A4418" w:rsidRPr="009E3A67">
          <w:rPr>
            <w:rStyle w:val="Hyperlink"/>
            <w:rFonts w:ascii="Times New Roman" w:hAnsi="Times New Roman" w:cs="Times New Roman"/>
            <w:kern w:val="0"/>
            <w:sz w:val="24"/>
            <w:szCs w:val="24"/>
            <w14:ligatures w14:val="none"/>
          </w:rPr>
          <w:t>https://youtu.be/0UmtrCGlFgU?si=26K4k0xAT_NyXMnd</w:t>
        </w:r>
      </w:hyperlink>
      <w:r w:rsidR="002A4418" w:rsidRPr="009E3A67">
        <w:rPr>
          <w:rFonts w:ascii="Times New Roman" w:hAnsi="Times New Roman" w:cs="Times New Roman"/>
          <w:kern w:val="0"/>
          <w:sz w:val="24"/>
          <w:szCs w:val="24"/>
          <w14:ligatures w14:val="none"/>
        </w:rPr>
        <w:t xml:space="preserve">. </w:t>
      </w:r>
      <w:r w:rsidRPr="009E3A67">
        <w:rPr>
          <w:rFonts w:ascii="Times New Roman" w:hAnsi="Times New Roman" w:cs="Times New Roman"/>
          <w:color w:val="auto"/>
          <w:sz w:val="24"/>
          <w:szCs w:val="24"/>
        </w:rPr>
        <w:t>Acessado no dia 17/06/2024.</w:t>
      </w:r>
    </w:p>
    <w:p w14:paraId="4418F63A" w14:textId="77777777" w:rsidR="0007060A" w:rsidRPr="009E3A67" w:rsidRDefault="0007060A" w:rsidP="00E83AC6">
      <w:pPr>
        <w:spacing w:after="0" w:line="240" w:lineRule="auto"/>
        <w:jc w:val="both"/>
        <w:rPr>
          <w:rFonts w:ascii="Times New Roman" w:hAnsi="Times New Roman" w:cs="Times New Roman"/>
          <w:lang w:val="pt-PT"/>
        </w:rPr>
      </w:pPr>
    </w:p>
    <w:p w14:paraId="0CAAE504"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AZAGAIA - Revolução Já”. Disponível em: </w:t>
      </w:r>
      <w:hyperlink r:id="rId22" w:history="1">
        <w:r w:rsidRPr="009E3A67">
          <w:rPr>
            <w:rStyle w:val="Hyperlink"/>
            <w:rFonts w:ascii="Times New Roman" w:hAnsi="Times New Roman" w:cs="Times New Roman"/>
            <w:sz w:val="24"/>
            <w:szCs w:val="24"/>
          </w:rPr>
          <w:t>https://youtu.be/kTlxifbqnhY?si=AU8rI5G5RGXQQ5Ev</w:t>
        </w:r>
      </w:hyperlink>
      <w:r w:rsidRPr="009E3A67">
        <w:rPr>
          <w:rFonts w:ascii="Times New Roman" w:hAnsi="Times New Roman" w:cs="Times New Roman"/>
          <w:sz w:val="24"/>
          <w:szCs w:val="24"/>
        </w:rPr>
        <w:t>. Acessado no dia 14/06/2024.</w:t>
      </w:r>
    </w:p>
    <w:p w14:paraId="13208B0B" w14:textId="77777777" w:rsidR="0007060A" w:rsidRPr="009E3A67" w:rsidRDefault="0007060A" w:rsidP="00E83AC6">
      <w:pPr>
        <w:spacing w:after="0" w:line="240" w:lineRule="auto"/>
        <w:jc w:val="both"/>
        <w:rPr>
          <w:rFonts w:ascii="Times New Roman" w:hAnsi="Times New Roman" w:cs="Times New Roman"/>
          <w:sz w:val="24"/>
          <w:szCs w:val="24"/>
        </w:rPr>
      </w:pPr>
    </w:p>
    <w:p w14:paraId="6282EE80"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BOAHEN, Albert Adu. </w:t>
      </w:r>
      <w:r w:rsidRPr="009E3A67">
        <w:rPr>
          <w:rFonts w:ascii="Times New Roman" w:eastAsia="Calibri" w:hAnsi="Times New Roman" w:cs="Times New Roman"/>
          <w:i/>
          <w:iCs/>
          <w:sz w:val="24"/>
          <w:szCs w:val="24"/>
        </w:rPr>
        <w:t>História geral da África, VII: África sob dominação colonial, 1880-1935</w:t>
      </w:r>
      <w:r w:rsidRPr="009E3A67">
        <w:rPr>
          <w:rFonts w:ascii="Times New Roman" w:eastAsia="Calibri" w:hAnsi="Times New Roman" w:cs="Times New Roman"/>
          <w:sz w:val="24"/>
          <w:szCs w:val="24"/>
        </w:rPr>
        <w:t>. Brasília: UNESCO, 2010.</w:t>
      </w:r>
    </w:p>
    <w:p w14:paraId="5404859B"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rPr>
      </w:pPr>
    </w:p>
    <w:p w14:paraId="4C8674BB"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CACUTO, José Francisco. </w:t>
      </w:r>
      <w:r w:rsidRPr="009E3A67">
        <w:rPr>
          <w:rFonts w:ascii="Times New Roman" w:eastAsia="Calibri" w:hAnsi="Times New Roman" w:cs="Times New Roman"/>
          <w:i/>
          <w:iCs/>
          <w:sz w:val="24"/>
          <w:szCs w:val="24"/>
          <w:lang w:eastAsia="pt-PT"/>
        </w:rPr>
        <w:t>Angola pós-indenpendente: Implicações econômicas da herança colonial.</w:t>
      </w:r>
      <w:r w:rsidRPr="009E3A67">
        <w:rPr>
          <w:rFonts w:ascii="Times New Roman" w:eastAsia="Calibri" w:hAnsi="Times New Roman" w:cs="Times New Roman"/>
          <w:sz w:val="24"/>
          <w:szCs w:val="24"/>
          <w:lang w:eastAsia="pt-PT"/>
        </w:rPr>
        <w:t xml:space="preserve"> Econ. Pesquí.Araçatuba. \' 3, nl. r 22-39. mar. 2001.</w:t>
      </w:r>
    </w:p>
    <w:p w14:paraId="5D391993"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72970EF7"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kern w:val="2"/>
          <w:sz w:val="24"/>
          <w:szCs w:val="24"/>
          <w:lang w:val="en-GB"/>
          <w14:ligatures w14:val="standardContextual"/>
        </w:rPr>
      </w:pPr>
      <w:r w:rsidRPr="009E3A67">
        <w:rPr>
          <w:rFonts w:ascii="Times New Roman" w:hAnsi="Times New Roman" w:cs="Times New Roman"/>
          <w:sz w:val="24"/>
          <w:szCs w:val="24"/>
        </w:rPr>
        <w:t xml:space="preserve">Cimeira França-África discute impacto económico da Covid-19. Disponível em: </w:t>
      </w:r>
      <w:hyperlink r:id="rId23" w:history="1">
        <w:r w:rsidR="0007060A" w:rsidRPr="009E3A67">
          <w:rPr>
            <w:rStyle w:val="Hyperlink"/>
            <w:rFonts w:ascii="Times New Roman" w:hAnsi="Times New Roman" w:cs="Times New Roman"/>
            <w:sz w:val="24"/>
            <w:szCs w:val="24"/>
          </w:rPr>
          <w:t xml:space="preserve">https://www.dw.com/pt-002/cimeira-fran%C3%A7a-%C3%A1frica-discute-impacto-econ%C3%B3mico-da-covid-19/a-57547674. </w:t>
        </w:r>
        <w:r w:rsidR="0007060A" w:rsidRPr="009E3A67">
          <w:rPr>
            <w:rStyle w:val="Hyperlink"/>
            <w:rFonts w:ascii="Times New Roman" w:hAnsi="Times New Roman" w:cs="Times New Roman"/>
            <w:sz w:val="24"/>
            <w:szCs w:val="24"/>
            <w:lang w:val="en-GB"/>
          </w:rPr>
          <w:t>Acessado no dia 17/05/2024</w:t>
        </w:r>
      </w:hyperlink>
      <w:r w:rsidRPr="009E3A67">
        <w:rPr>
          <w:rFonts w:ascii="Times New Roman" w:hAnsi="Times New Roman" w:cs="Times New Roman"/>
          <w:sz w:val="24"/>
          <w:szCs w:val="24"/>
          <w:lang w:val="en-GB"/>
        </w:rPr>
        <w:t>.</w:t>
      </w:r>
    </w:p>
    <w:p w14:paraId="28260F85" w14:textId="77777777" w:rsidR="0007060A" w:rsidRPr="009E3A67" w:rsidRDefault="0007060A" w:rsidP="00E83AC6">
      <w:pPr>
        <w:pStyle w:val="PargrafodaLista"/>
        <w:spacing w:after="0" w:line="240" w:lineRule="auto"/>
        <w:ind w:left="0"/>
        <w:jc w:val="both"/>
        <w:rPr>
          <w:rFonts w:ascii="Times New Roman" w:hAnsi="Times New Roman" w:cs="Times New Roman"/>
          <w:kern w:val="2"/>
          <w:sz w:val="24"/>
          <w:szCs w:val="24"/>
          <w:lang w:val="en-GB"/>
          <w14:ligatures w14:val="standardContextual"/>
        </w:rPr>
      </w:pPr>
    </w:p>
    <w:p w14:paraId="572E2979"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val="en-GB" w:eastAsia="pt-PT"/>
        </w:rPr>
        <w:t xml:space="preserve">CLARKE, John Henrik. </w:t>
      </w:r>
      <w:r w:rsidRPr="009E3A67">
        <w:rPr>
          <w:rFonts w:ascii="Times New Roman" w:eastAsia="Calibri" w:hAnsi="Times New Roman" w:cs="Times New Roman"/>
          <w:i/>
          <w:iCs/>
          <w:sz w:val="24"/>
          <w:szCs w:val="24"/>
          <w:lang w:val="en-GB" w:eastAsia="pt-PT"/>
        </w:rPr>
        <w:t>Notes for an African world revolution: African at the crossroads</w:t>
      </w:r>
      <w:r w:rsidRPr="009E3A67">
        <w:rPr>
          <w:rFonts w:ascii="Times New Roman" w:eastAsia="Calibri" w:hAnsi="Times New Roman" w:cs="Times New Roman"/>
          <w:sz w:val="24"/>
          <w:szCs w:val="24"/>
          <w:lang w:val="en-GB" w:eastAsia="pt-PT"/>
        </w:rPr>
        <w:t xml:space="preserve">. </w:t>
      </w:r>
      <w:r w:rsidRPr="009E3A67">
        <w:rPr>
          <w:rFonts w:ascii="Times New Roman" w:eastAsia="Calibri" w:hAnsi="Times New Roman" w:cs="Times New Roman"/>
          <w:sz w:val="24"/>
          <w:szCs w:val="24"/>
          <w:lang w:eastAsia="pt-PT"/>
        </w:rPr>
        <w:t>Trenton, N.J.: Africa World Press, 1991.</w:t>
      </w:r>
    </w:p>
    <w:p w14:paraId="20F9DDBA"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2CBBE916"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kern w:val="2"/>
          <w:sz w:val="24"/>
          <w:szCs w:val="24"/>
          <w14:ligatures w14:val="standardContextual"/>
        </w:rPr>
      </w:pPr>
      <w:r w:rsidRPr="009E3A67">
        <w:rPr>
          <w:rFonts w:ascii="Times New Roman" w:hAnsi="Times New Roman" w:cs="Times New Roman"/>
          <w:sz w:val="24"/>
          <w:szCs w:val="24"/>
        </w:rPr>
        <w:t xml:space="preserve">Conflito entre República Democrática do Congo e Ruanda é antigo. Disponível em: </w:t>
      </w:r>
      <w:hyperlink r:id="rId24" w:history="1">
        <w:r w:rsidRPr="009E3A67">
          <w:rPr>
            <w:rStyle w:val="Hyperlink"/>
            <w:rFonts w:ascii="Times New Roman" w:hAnsi="Times New Roman" w:cs="Times New Roman"/>
            <w:sz w:val="24"/>
            <w:szCs w:val="24"/>
          </w:rPr>
          <w:t>https://pt.euronews.com/2022/06/21/conflito-entre-republica-democratica-do-congo-e-ruanda-e-antigo</w:t>
        </w:r>
      </w:hyperlink>
      <w:r w:rsidRPr="009E3A67">
        <w:rPr>
          <w:rFonts w:ascii="Times New Roman" w:hAnsi="Times New Roman" w:cs="Times New Roman"/>
          <w:sz w:val="24"/>
          <w:szCs w:val="24"/>
        </w:rPr>
        <w:t>. Acessado no dia 02/06/2024.</w:t>
      </w:r>
    </w:p>
    <w:p w14:paraId="3FE9B387" w14:textId="77777777" w:rsidR="0007060A" w:rsidRPr="009E3A67" w:rsidRDefault="0007060A" w:rsidP="00E83AC6">
      <w:pPr>
        <w:pStyle w:val="PargrafodaLista"/>
        <w:spacing w:after="0" w:line="240" w:lineRule="auto"/>
        <w:ind w:left="0"/>
        <w:jc w:val="both"/>
        <w:rPr>
          <w:rFonts w:ascii="Times New Roman" w:hAnsi="Times New Roman" w:cs="Times New Roman"/>
          <w:kern w:val="2"/>
          <w:sz w:val="24"/>
          <w:szCs w:val="24"/>
          <w14:ligatures w14:val="standardContextual"/>
        </w:rPr>
      </w:pPr>
    </w:p>
    <w:p w14:paraId="03992746"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color w:val="222222"/>
          <w:sz w:val="24"/>
          <w:szCs w:val="24"/>
          <w:shd w:val="clear" w:color="auto" w:fill="FFFFFF"/>
        </w:rPr>
      </w:pPr>
      <w:r w:rsidRPr="009E3A67">
        <w:rPr>
          <w:rFonts w:ascii="Times New Roman" w:hAnsi="Times New Roman" w:cs="Times New Roman"/>
          <w:color w:val="222222"/>
          <w:sz w:val="24"/>
          <w:szCs w:val="24"/>
          <w:shd w:val="clear" w:color="auto" w:fill="FFFFFF"/>
        </w:rPr>
        <w:t xml:space="preserve">DA SILVA, Meryelle Macedo, et al. </w:t>
      </w:r>
      <w:r w:rsidRPr="009E3A67">
        <w:rPr>
          <w:rFonts w:ascii="Times New Roman" w:hAnsi="Times New Roman" w:cs="Times New Roman"/>
          <w:i/>
          <w:iCs/>
          <w:color w:val="222222"/>
          <w:sz w:val="24"/>
          <w:szCs w:val="24"/>
          <w:shd w:val="clear" w:color="auto" w:fill="FFFFFF"/>
        </w:rPr>
        <w:t>Pan-africanismo e educação: perspectivas para o ensino das africanidades. </w:t>
      </w:r>
      <w:r w:rsidRPr="009E3A67">
        <w:rPr>
          <w:rFonts w:ascii="Times New Roman" w:hAnsi="Times New Roman" w:cs="Times New Roman"/>
          <w:color w:val="222222"/>
          <w:sz w:val="24"/>
          <w:szCs w:val="24"/>
          <w:shd w:val="clear" w:color="auto" w:fill="FFFFFF"/>
        </w:rPr>
        <w:t>Perspectivas em Diálogo: Revista de Educação e Sociedade, 98-117, nov. 2023.</w:t>
      </w:r>
    </w:p>
    <w:p w14:paraId="25846B1E" w14:textId="77777777" w:rsidR="0007060A" w:rsidRPr="009E3A67" w:rsidRDefault="0007060A" w:rsidP="00E83AC6">
      <w:pPr>
        <w:pStyle w:val="PargrafodaLista"/>
        <w:spacing w:after="0" w:line="240" w:lineRule="auto"/>
        <w:ind w:left="0"/>
        <w:jc w:val="both"/>
        <w:rPr>
          <w:rFonts w:ascii="Times New Roman" w:hAnsi="Times New Roman" w:cs="Times New Roman"/>
          <w:color w:val="222222"/>
          <w:sz w:val="24"/>
          <w:szCs w:val="24"/>
          <w:shd w:val="clear" w:color="auto" w:fill="FFFFFF"/>
        </w:rPr>
      </w:pPr>
    </w:p>
    <w:p w14:paraId="640E2AB3"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val="en-GB" w:eastAsia="pt-PT"/>
        </w:rPr>
      </w:pPr>
      <w:r w:rsidRPr="009E3A67">
        <w:rPr>
          <w:rFonts w:ascii="Times New Roman" w:eastAsia="Calibri" w:hAnsi="Times New Roman" w:cs="Times New Roman"/>
          <w:sz w:val="24"/>
          <w:szCs w:val="24"/>
          <w:lang w:eastAsia="pt-PT"/>
        </w:rPr>
        <w:t xml:space="preserve">EASTON, David. </w:t>
      </w:r>
      <w:r w:rsidRPr="009E3A67">
        <w:rPr>
          <w:rFonts w:ascii="Times New Roman" w:eastAsia="Calibri" w:hAnsi="Times New Roman" w:cs="Times New Roman"/>
          <w:i/>
          <w:iCs/>
          <w:sz w:val="24"/>
          <w:szCs w:val="24"/>
          <w:lang w:val="en-GB" w:eastAsia="pt-PT"/>
        </w:rPr>
        <w:t>The Political System.</w:t>
      </w:r>
      <w:r w:rsidRPr="009E3A67">
        <w:rPr>
          <w:rFonts w:ascii="Times New Roman" w:eastAsia="Calibri" w:hAnsi="Times New Roman" w:cs="Times New Roman"/>
          <w:sz w:val="24"/>
          <w:szCs w:val="24"/>
          <w:lang w:val="en-GB" w:eastAsia="pt-PT"/>
        </w:rPr>
        <w:t xml:space="preserve"> New York: Knopf, 1953.</w:t>
      </w:r>
    </w:p>
    <w:p w14:paraId="0E88F5D7"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val="en-GB" w:eastAsia="pt-PT"/>
        </w:rPr>
      </w:pPr>
    </w:p>
    <w:p w14:paraId="374BE04B"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val="en-GB" w:eastAsia="pt-PT"/>
        </w:rPr>
        <w:t xml:space="preserve">EASTON, David. </w:t>
      </w:r>
      <w:r w:rsidRPr="009E3A67">
        <w:rPr>
          <w:rFonts w:ascii="Times New Roman" w:eastAsia="Calibri" w:hAnsi="Times New Roman" w:cs="Times New Roman"/>
          <w:i/>
          <w:iCs/>
          <w:sz w:val="24"/>
          <w:szCs w:val="24"/>
          <w:lang w:val="en-GB" w:eastAsia="pt-PT"/>
        </w:rPr>
        <w:t>The Political System: An Inquiry into the State of Political Science.</w:t>
      </w:r>
      <w:r w:rsidRPr="009E3A67">
        <w:rPr>
          <w:rFonts w:ascii="Times New Roman" w:eastAsia="Calibri" w:hAnsi="Times New Roman" w:cs="Times New Roman"/>
          <w:sz w:val="24"/>
          <w:szCs w:val="24"/>
          <w:lang w:val="en-GB" w:eastAsia="pt-PT"/>
        </w:rPr>
        <w:t xml:space="preserve"> </w:t>
      </w:r>
      <w:r w:rsidRPr="009E3A67">
        <w:rPr>
          <w:rFonts w:ascii="Times New Roman" w:eastAsia="Calibri" w:hAnsi="Times New Roman" w:cs="Times New Roman"/>
          <w:sz w:val="24"/>
          <w:szCs w:val="24"/>
          <w:lang w:eastAsia="pt-PT"/>
        </w:rPr>
        <w:t>New York: Alfred A. Knopf, 1953.</w:t>
      </w:r>
    </w:p>
    <w:p w14:paraId="74E87702"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152A78CC"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kern w:val="2"/>
          <w:sz w:val="24"/>
          <w:szCs w:val="24"/>
          <w14:ligatures w14:val="standardContextual"/>
        </w:rPr>
      </w:pPr>
      <w:r w:rsidRPr="009E3A67">
        <w:rPr>
          <w:rFonts w:ascii="Times New Roman" w:hAnsi="Times New Roman" w:cs="Times New Roman"/>
          <w:sz w:val="24"/>
          <w:szCs w:val="24"/>
        </w:rPr>
        <w:t xml:space="preserve">FRANÇA CHOCADA com DISCURSO VIRAL do Novo PRESIDENTE do SENEGAL (Ousmane Sonko). Disponível em: </w:t>
      </w:r>
      <w:hyperlink r:id="rId25" w:history="1">
        <w:r w:rsidRPr="009E3A67">
          <w:rPr>
            <w:rStyle w:val="Hyperlink"/>
            <w:rFonts w:ascii="Times New Roman" w:hAnsi="Times New Roman" w:cs="Times New Roman"/>
            <w:sz w:val="24"/>
            <w:szCs w:val="24"/>
          </w:rPr>
          <w:t>https://youtu.be/5J8C3P8nHY8?si=SsiNTEYhPP_4Z3Vd</w:t>
        </w:r>
      </w:hyperlink>
      <w:r w:rsidRPr="009E3A67">
        <w:rPr>
          <w:rFonts w:ascii="Times New Roman" w:hAnsi="Times New Roman" w:cs="Times New Roman"/>
          <w:sz w:val="24"/>
          <w:szCs w:val="24"/>
        </w:rPr>
        <w:t>.  Acessado no dia 9/06/2024.</w:t>
      </w:r>
    </w:p>
    <w:p w14:paraId="1968E156" w14:textId="77777777" w:rsidR="0007060A" w:rsidRPr="009E3A67" w:rsidRDefault="0007060A" w:rsidP="00E83AC6">
      <w:pPr>
        <w:pStyle w:val="PargrafodaLista"/>
        <w:spacing w:after="0" w:line="240" w:lineRule="auto"/>
        <w:ind w:left="0"/>
        <w:jc w:val="both"/>
        <w:rPr>
          <w:rFonts w:ascii="Times New Roman" w:hAnsi="Times New Roman" w:cs="Times New Roman"/>
          <w:kern w:val="2"/>
          <w:sz w:val="24"/>
          <w:szCs w:val="24"/>
          <w14:ligatures w14:val="standardContextual"/>
        </w:rPr>
      </w:pPr>
    </w:p>
    <w:p w14:paraId="67994EB2"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Grande entrevista de Sérgio Vieira na STV moçambicana. Disponível em: </w:t>
      </w:r>
      <w:hyperlink r:id="rId26" w:history="1">
        <w:r w:rsidRPr="009E3A67">
          <w:rPr>
            <w:rStyle w:val="Hyperlink"/>
            <w:rFonts w:ascii="Times New Roman" w:hAnsi="Times New Roman" w:cs="Times New Roman"/>
            <w:sz w:val="24"/>
            <w:szCs w:val="24"/>
          </w:rPr>
          <w:t>https://youtu.be/yvShgLQtCow?si=aPJ4MtAD_foLp4pK</w:t>
        </w:r>
      </w:hyperlink>
      <w:r w:rsidRPr="009E3A67">
        <w:rPr>
          <w:rFonts w:ascii="Times New Roman" w:hAnsi="Times New Roman" w:cs="Times New Roman"/>
          <w:sz w:val="24"/>
          <w:szCs w:val="24"/>
        </w:rPr>
        <w:t>. Acessado no dia 22/05/2024.</w:t>
      </w:r>
    </w:p>
    <w:p w14:paraId="7F6CF42D" w14:textId="77777777" w:rsidR="0007060A" w:rsidRPr="009E3A67" w:rsidRDefault="0007060A" w:rsidP="00E83AC6">
      <w:pPr>
        <w:pStyle w:val="PargrafodaLista"/>
        <w:spacing w:after="0" w:line="240" w:lineRule="auto"/>
        <w:ind w:left="0"/>
        <w:jc w:val="both"/>
        <w:rPr>
          <w:rFonts w:ascii="Times New Roman" w:hAnsi="Times New Roman" w:cs="Times New Roman"/>
          <w:sz w:val="24"/>
          <w:szCs w:val="24"/>
        </w:rPr>
      </w:pPr>
    </w:p>
    <w:p w14:paraId="11E069AC"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Há países africanos com uma dívida impagável à Rússia. Disponível em: </w:t>
      </w:r>
      <w:hyperlink r:id="rId27" w:history="1">
        <w:r w:rsidRPr="009E3A67">
          <w:rPr>
            <w:rStyle w:val="Hyperlink"/>
            <w:rFonts w:ascii="Times New Roman" w:hAnsi="Times New Roman" w:cs="Times New Roman"/>
            <w:sz w:val="24"/>
            <w:szCs w:val="24"/>
          </w:rPr>
          <w:t>https://www.dw.com/pt-002/cimeira-r%C3%BAssia-%C3%A1frica-h%C3%A1 pa%C3%ADses-africanos-com-uma-d%C3%ADvida-impag%C3%A1vel-%C3%A0-r%C3%BAssia/a-66370091</w:t>
        </w:r>
      </w:hyperlink>
      <w:r w:rsidRPr="009E3A67">
        <w:rPr>
          <w:rFonts w:ascii="Times New Roman" w:hAnsi="Times New Roman" w:cs="Times New Roman"/>
          <w:sz w:val="24"/>
          <w:szCs w:val="24"/>
        </w:rPr>
        <w:t>.  Acessado no dia 11/04/2024.</w:t>
      </w:r>
    </w:p>
    <w:p w14:paraId="6942A0C2" w14:textId="77777777" w:rsidR="0007060A" w:rsidRPr="009E3A67" w:rsidRDefault="0007060A" w:rsidP="00E83AC6">
      <w:pPr>
        <w:pStyle w:val="PargrafodaLista"/>
        <w:spacing w:after="0" w:line="240" w:lineRule="auto"/>
        <w:ind w:left="0"/>
        <w:jc w:val="both"/>
        <w:rPr>
          <w:rFonts w:ascii="Times New Roman" w:hAnsi="Times New Roman" w:cs="Times New Roman"/>
          <w:sz w:val="24"/>
          <w:szCs w:val="24"/>
        </w:rPr>
      </w:pPr>
    </w:p>
    <w:p w14:paraId="3C1E11F0"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HOBSBAWM, Eric J. </w:t>
      </w:r>
      <w:r w:rsidRPr="009E3A67">
        <w:rPr>
          <w:rFonts w:ascii="Times New Roman" w:hAnsi="Times New Roman" w:cs="Times New Roman"/>
          <w:i/>
          <w:iCs/>
          <w:sz w:val="24"/>
          <w:szCs w:val="24"/>
        </w:rPr>
        <w:t>Era dos Extremos: o breve século XX: 1914-1991.</w:t>
      </w:r>
      <w:r w:rsidRPr="009E3A67">
        <w:rPr>
          <w:rFonts w:ascii="Times New Roman" w:hAnsi="Times New Roman" w:cs="Times New Roman"/>
          <w:sz w:val="24"/>
          <w:szCs w:val="24"/>
        </w:rPr>
        <w:t xml:space="preserve"> Trad. Marcos Santarrita. São Paulo: Companhia das Letras, 2002.</w:t>
      </w:r>
    </w:p>
    <w:p w14:paraId="68A2E765" w14:textId="77777777" w:rsidR="0007060A" w:rsidRPr="009E3A67" w:rsidRDefault="0007060A" w:rsidP="00E83AC6">
      <w:pPr>
        <w:pStyle w:val="PargrafodaLista"/>
        <w:spacing w:after="0" w:line="240" w:lineRule="auto"/>
        <w:ind w:left="0"/>
        <w:jc w:val="both"/>
        <w:rPr>
          <w:rFonts w:ascii="Times New Roman" w:hAnsi="Times New Roman" w:cs="Times New Roman"/>
          <w:sz w:val="24"/>
          <w:szCs w:val="24"/>
        </w:rPr>
      </w:pPr>
    </w:p>
    <w:p w14:paraId="4C940B45"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KEITA, Boubacar Namory. </w:t>
      </w:r>
      <w:r w:rsidRPr="009E3A67">
        <w:rPr>
          <w:rFonts w:ascii="Times New Roman" w:eastAsia="Calibri" w:hAnsi="Times New Roman" w:cs="Times New Roman"/>
          <w:sz w:val="24"/>
          <w:szCs w:val="24"/>
          <w:lang w:val="en-GB" w:eastAsia="pt-PT"/>
        </w:rPr>
        <w:t>Prefácio. In:</w:t>
      </w:r>
      <w:r w:rsidRPr="009E3A67">
        <w:rPr>
          <w:rFonts w:ascii="Times New Roman" w:hAnsi="Times New Roman" w:cs="Times New Roman"/>
          <w:sz w:val="24"/>
          <w:szCs w:val="24"/>
          <w:lang w:val="en-GB"/>
        </w:rPr>
        <w:t xml:space="preserve"> </w:t>
      </w:r>
      <w:r w:rsidRPr="009E3A67">
        <w:rPr>
          <w:rFonts w:ascii="Times New Roman" w:eastAsia="Calibri" w:hAnsi="Times New Roman" w:cs="Times New Roman"/>
          <w:sz w:val="24"/>
          <w:szCs w:val="24"/>
          <w:lang w:val="en-GB" w:eastAsia="pt-PT"/>
        </w:rPr>
        <w:t xml:space="preserve">TOM, Daniel Yagnye. </w:t>
      </w:r>
      <w:r w:rsidRPr="009E3A67">
        <w:rPr>
          <w:rFonts w:ascii="Times New Roman" w:eastAsia="Calibri" w:hAnsi="Times New Roman" w:cs="Times New Roman"/>
          <w:i/>
          <w:iCs/>
          <w:sz w:val="24"/>
          <w:szCs w:val="24"/>
          <w:lang w:eastAsia="pt-PT"/>
        </w:rPr>
        <w:t>O contencioso franco-africano: os casos dos camarões, rca, togo, gabão e chade.</w:t>
      </w:r>
      <w:r w:rsidRPr="009E3A67">
        <w:rPr>
          <w:rFonts w:ascii="Times New Roman" w:eastAsia="Calibri" w:hAnsi="Times New Roman" w:cs="Times New Roman"/>
          <w:sz w:val="24"/>
          <w:szCs w:val="24"/>
          <w:lang w:eastAsia="pt-PT"/>
        </w:rPr>
        <w:t xml:space="preserve"> Trad. Juliano Mabibi. Luanda: Mayamba, 2015.</w:t>
      </w:r>
    </w:p>
    <w:p w14:paraId="66814063"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07900C81"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KEITA, Boubakar N. </w:t>
      </w:r>
      <w:r w:rsidRPr="009E3A67">
        <w:rPr>
          <w:rFonts w:ascii="Times New Roman" w:eastAsia="Calibri" w:hAnsi="Times New Roman" w:cs="Times New Roman"/>
          <w:i/>
          <w:iCs/>
          <w:sz w:val="24"/>
          <w:szCs w:val="24"/>
          <w:lang w:eastAsia="pt-PT"/>
        </w:rPr>
        <w:t>História da África Negra: síntese de história política e de civilizações</w:t>
      </w:r>
      <w:r w:rsidRPr="009E3A67">
        <w:rPr>
          <w:rFonts w:ascii="Times New Roman" w:eastAsia="Calibri" w:hAnsi="Times New Roman" w:cs="Times New Roman"/>
          <w:sz w:val="24"/>
          <w:szCs w:val="24"/>
          <w:lang w:eastAsia="pt-PT"/>
        </w:rPr>
        <w:t xml:space="preserve">. Luanda. Texto editores, 2009. </w:t>
      </w:r>
    </w:p>
    <w:p w14:paraId="3C3C71FA"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75ED57BD"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kern w:val="2"/>
          <w:sz w:val="24"/>
          <w:szCs w:val="24"/>
          <w14:ligatures w14:val="standardContextual"/>
        </w:rPr>
      </w:pPr>
      <w:r w:rsidRPr="009E3A67">
        <w:rPr>
          <w:rFonts w:ascii="Times New Roman" w:hAnsi="Times New Roman" w:cs="Times New Roman"/>
          <w:sz w:val="24"/>
          <w:szCs w:val="24"/>
          <w:lang w:val="en-GB"/>
        </w:rPr>
        <w:t xml:space="preserve">Magufuli's last powerful speech as tanzanian president! </w:t>
      </w:r>
      <w:r w:rsidRPr="009E3A67">
        <w:rPr>
          <w:rFonts w:ascii="Times New Roman" w:hAnsi="Times New Roman" w:cs="Times New Roman"/>
          <w:sz w:val="24"/>
          <w:szCs w:val="24"/>
        </w:rPr>
        <w:t xml:space="preserve">Disponível em: </w:t>
      </w:r>
      <w:hyperlink r:id="rId28" w:history="1">
        <w:r w:rsidRPr="009E3A67">
          <w:rPr>
            <w:rStyle w:val="Hyperlink"/>
            <w:rFonts w:ascii="Times New Roman" w:hAnsi="Times New Roman" w:cs="Times New Roman"/>
            <w:sz w:val="24"/>
            <w:szCs w:val="24"/>
          </w:rPr>
          <w:t>https://youtu.be/2KraeN7MG5Y?si=sxbCmagu2hPGNQH7</w:t>
        </w:r>
      </w:hyperlink>
      <w:r w:rsidRPr="009E3A67">
        <w:rPr>
          <w:rFonts w:ascii="Times New Roman" w:hAnsi="Times New Roman" w:cs="Times New Roman"/>
          <w:sz w:val="24"/>
          <w:szCs w:val="24"/>
        </w:rPr>
        <w:t>. Acessado no dia 18/06/2024.</w:t>
      </w:r>
    </w:p>
    <w:p w14:paraId="2D4BD849" w14:textId="77777777" w:rsidR="0007060A" w:rsidRPr="009E3A67" w:rsidRDefault="0007060A" w:rsidP="00E83AC6">
      <w:pPr>
        <w:pStyle w:val="PargrafodaLista"/>
        <w:spacing w:after="0" w:line="240" w:lineRule="auto"/>
        <w:ind w:left="0"/>
        <w:jc w:val="both"/>
        <w:rPr>
          <w:rFonts w:ascii="Times New Roman" w:hAnsi="Times New Roman" w:cs="Times New Roman"/>
          <w:kern w:val="2"/>
          <w:sz w:val="24"/>
          <w:szCs w:val="24"/>
          <w14:ligatures w14:val="standardContextual"/>
        </w:rPr>
      </w:pPr>
    </w:p>
    <w:p w14:paraId="51B52E47"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MÁXIMO, Bruno Pastre. </w:t>
      </w:r>
      <w:r w:rsidRPr="009E3A67">
        <w:rPr>
          <w:rFonts w:ascii="Times New Roman" w:eastAsia="Calibri" w:hAnsi="Times New Roman" w:cs="Times New Roman"/>
          <w:i/>
          <w:iCs/>
          <w:sz w:val="24"/>
          <w:szCs w:val="24"/>
          <w:lang w:eastAsia="pt-PT"/>
        </w:rPr>
        <w:t>Legislação e conflito no reino do Kongo do século XVI.</w:t>
      </w:r>
      <w:r w:rsidRPr="009E3A67">
        <w:rPr>
          <w:rFonts w:ascii="Times New Roman" w:eastAsia="Calibri" w:hAnsi="Times New Roman" w:cs="Times New Roman"/>
          <w:sz w:val="24"/>
          <w:szCs w:val="24"/>
          <w:lang w:eastAsia="pt-PT"/>
        </w:rPr>
        <w:t xml:space="preserve"> Revista Temporalidades. Belo Horizonte. Vol.9, n.3, Dezembro, 2017.</w:t>
      </w:r>
    </w:p>
    <w:p w14:paraId="2EBD37C1"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2C10B869" w14:textId="77777777" w:rsidR="00DA15ED" w:rsidRPr="009E3A67" w:rsidRDefault="00DA15ED" w:rsidP="00E83AC6">
      <w:pPr>
        <w:pStyle w:val="PargrafodaLista"/>
        <w:numPr>
          <w:ilvl w:val="0"/>
          <w:numId w:val="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MBEMBE, Achille. </w:t>
      </w:r>
      <w:r w:rsidRPr="009E3A67">
        <w:rPr>
          <w:rFonts w:ascii="Times New Roman" w:eastAsia="Calibri" w:hAnsi="Times New Roman" w:cs="Times New Roman"/>
          <w:i/>
          <w:iCs/>
          <w:sz w:val="24"/>
          <w:szCs w:val="24"/>
        </w:rPr>
        <w:t>África Insubmissa: Cristianismo, poder e Estado na sociedade pós- colonial.</w:t>
      </w:r>
      <w:r w:rsidRPr="009E3A67">
        <w:rPr>
          <w:rFonts w:ascii="Times New Roman" w:eastAsia="Calibri" w:hAnsi="Times New Roman" w:cs="Times New Roman"/>
          <w:sz w:val="24"/>
          <w:szCs w:val="24"/>
        </w:rPr>
        <w:t xml:space="preserve"> Luanda: Edições Mulembo, 2013.</w:t>
      </w:r>
    </w:p>
    <w:p w14:paraId="187F710F"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rPr>
      </w:pPr>
    </w:p>
    <w:p w14:paraId="6C2108EA"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MOORE, Carlos. </w:t>
      </w:r>
      <w:r w:rsidRPr="009E3A67">
        <w:rPr>
          <w:rFonts w:ascii="Times New Roman" w:eastAsia="Calibri" w:hAnsi="Times New Roman" w:cs="Times New Roman"/>
          <w:i/>
          <w:iCs/>
          <w:sz w:val="24"/>
          <w:szCs w:val="24"/>
          <w:lang w:eastAsia="pt-PT"/>
        </w:rPr>
        <w:t>A África que incomoda: sobre a problematização do legado africano no quotidiano brasileiro.</w:t>
      </w:r>
      <w:r w:rsidRPr="009E3A67">
        <w:rPr>
          <w:rFonts w:ascii="Times New Roman" w:eastAsia="Calibri" w:hAnsi="Times New Roman" w:cs="Times New Roman"/>
          <w:sz w:val="24"/>
          <w:szCs w:val="24"/>
          <w:lang w:eastAsia="pt-PT"/>
        </w:rPr>
        <w:t xml:space="preserve"> Belo Horizonte: Editora Nandyala, 2ªedição, 2010.</w:t>
      </w:r>
    </w:p>
    <w:p w14:paraId="4A5FE940"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5C8419FC"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rPr>
      </w:pPr>
      <w:r w:rsidRPr="009E3A67">
        <w:rPr>
          <w:rFonts w:ascii="Times New Roman" w:eastAsia="Calibri" w:hAnsi="Times New Roman" w:cs="Times New Roman"/>
          <w:sz w:val="24"/>
          <w:szCs w:val="24"/>
        </w:rPr>
        <w:t xml:space="preserve">MUDIMBE, V. Y. </w:t>
      </w:r>
      <w:r w:rsidRPr="009E3A67">
        <w:rPr>
          <w:rFonts w:ascii="Times New Roman" w:eastAsia="Calibri" w:hAnsi="Times New Roman" w:cs="Times New Roman"/>
          <w:i/>
          <w:iCs/>
          <w:sz w:val="24"/>
          <w:szCs w:val="24"/>
        </w:rPr>
        <w:t xml:space="preserve">A invenção da África: gnose, filosofia e a ordem do conhecimento. </w:t>
      </w:r>
      <w:r w:rsidRPr="009E3A67">
        <w:rPr>
          <w:rFonts w:ascii="Times New Roman" w:eastAsia="Calibri" w:hAnsi="Times New Roman" w:cs="Times New Roman"/>
          <w:sz w:val="24"/>
          <w:szCs w:val="24"/>
        </w:rPr>
        <w:t xml:space="preserve">Trad. Fábio Ribeiro. Petrópolis, Rj: Vozes, 2019. </w:t>
      </w:r>
    </w:p>
    <w:p w14:paraId="52E5BB4D"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rPr>
      </w:pPr>
    </w:p>
    <w:p w14:paraId="524F623F"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NGOENHA, Severino. </w:t>
      </w:r>
      <w:r w:rsidRPr="009E3A67">
        <w:rPr>
          <w:rFonts w:ascii="Times New Roman" w:eastAsia="Calibri" w:hAnsi="Times New Roman" w:cs="Times New Roman"/>
          <w:i/>
          <w:iCs/>
          <w:sz w:val="24"/>
          <w:szCs w:val="24"/>
          <w:lang w:eastAsia="pt-PT"/>
        </w:rPr>
        <w:t>Intercultura, alternativa à governação biopolítica?</w:t>
      </w:r>
      <w:r w:rsidRPr="009E3A67">
        <w:rPr>
          <w:rFonts w:ascii="Times New Roman" w:eastAsia="Calibri" w:hAnsi="Times New Roman" w:cs="Times New Roman"/>
          <w:sz w:val="24"/>
          <w:szCs w:val="24"/>
          <w:lang w:eastAsia="pt-PT"/>
        </w:rPr>
        <w:t xml:space="preserve"> PubliFLX. Maputo. Dezembro de 2013.</w:t>
      </w:r>
    </w:p>
    <w:p w14:paraId="4A78EC98"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1C1957AA"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NKRUMAH, Kwame. </w:t>
      </w:r>
      <w:r w:rsidRPr="009E3A67">
        <w:rPr>
          <w:rFonts w:ascii="Times New Roman" w:eastAsia="Calibri" w:hAnsi="Times New Roman" w:cs="Times New Roman"/>
          <w:i/>
          <w:iCs/>
          <w:sz w:val="24"/>
          <w:szCs w:val="24"/>
          <w:lang w:eastAsia="pt-PT"/>
        </w:rPr>
        <w:t>A Luta de Classes em África.</w:t>
      </w:r>
      <w:r w:rsidRPr="009E3A67">
        <w:rPr>
          <w:rFonts w:ascii="Times New Roman" w:eastAsia="Calibri" w:hAnsi="Times New Roman" w:cs="Times New Roman"/>
          <w:sz w:val="24"/>
          <w:szCs w:val="24"/>
          <w:lang w:eastAsia="pt-PT"/>
        </w:rPr>
        <w:t xml:space="preserve"> Portugal. Livraria Sá da Costa, 1976.</w:t>
      </w:r>
    </w:p>
    <w:p w14:paraId="1344E370"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54D5E886"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val="en-GB" w:eastAsia="pt-PT"/>
        </w:rPr>
      </w:pPr>
      <w:r w:rsidRPr="009E3A67">
        <w:rPr>
          <w:rFonts w:ascii="Times New Roman" w:eastAsia="Calibri" w:hAnsi="Times New Roman" w:cs="Times New Roman"/>
          <w:sz w:val="24"/>
          <w:szCs w:val="24"/>
          <w:lang w:val="en-GB" w:eastAsia="pt-PT"/>
        </w:rPr>
        <w:t xml:space="preserve">NKRUMAH, Kwame. </w:t>
      </w:r>
      <w:r w:rsidRPr="009E3A67">
        <w:rPr>
          <w:rFonts w:ascii="Times New Roman" w:eastAsia="Calibri" w:hAnsi="Times New Roman" w:cs="Times New Roman"/>
          <w:i/>
          <w:iCs/>
          <w:sz w:val="24"/>
          <w:szCs w:val="24"/>
          <w:lang w:val="en-GB" w:eastAsia="pt-PT"/>
        </w:rPr>
        <w:t xml:space="preserve">Africa Must Unite. </w:t>
      </w:r>
      <w:r w:rsidRPr="009E3A67">
        <w:rPr>
          <w:rFonts w:ascii="Times New Roman" w:eastAsia="Calibri" w:hAnsi="Times New Roman" w:cs="Times New Roman"/>
          <w:sz w:val="24"/>
          <w:szCs w:val="24"/>
          <w:lang w:val="en-GB" w:eastAsia="pt-PT"/>
        </w:rPr>
        <w:t>New York: Frederick A. Praeger, Publisher, 1963.</w:t>
      </w:r>
    </w:p>
    <w:p w14:paraId="2D46364C"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val="en-GB" w:eastAsia="pt-PT"/>
        </w:rPr>
      </w:pPr>
    </w:p>
    <w:p w14:paraId="799DBE5F"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NKRUMAH, Kwame. </w:t>
      </w:r>
      <w:r w:rsidRPr="009E3A67">
        <w:rPr>
          <w:rFonts w:ascii="Times New Roman" w:eastAsia="Calibri" w:hAnsi="Times New Roman" w:cs="Times New Roman"/>
          <w:i/>
          <w:iCs/>
          <w:sz w:val="24"/>
          <w:szCs w:val="24"/>
          <w:lang w:eastAsia="pt-PT"/>
        </w:rPr>
        <w:t>Neocolonialismo: o último estágio do imperialismo</w:t>
      </w:r>
      <w:r w:rsidRPr="009E3A67">
        <w:rPr>
          <w:rFonts w:ascii="Times New Roman" w:eastAsia="Calibri" w:hAnsi="Times New Roman" w:cs="Times New Roman"/>
          <w:sz w:val="24"/>
          <w:szCs w:val="24"/>
          <w:lang w:eastAsia="pt-PT"/>
        </w:rPr>
        <w:t>. Rio de Janeiro: Civilização Brasileira, 1967.</w:t>
      </w:r>
    </w:p>
    <w:p w14:paraId="339D4EA1"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34DE43BE"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kern w:val="2"/>
          <w:sz w:val="24"/>
          <w:szCs w:val="24"/>
          <w14:ligatures w14:val="standardContextual"/>
        </w:rPr>
      </w:pPr>
      <w:r w:rsidRPr="009E3A67">
        <w:rPr>
          <w:rFonts w:ascii="Times New Roman" w:hAnsi="Times New Roman" w:cs="Times New Roman"/>
          <w:i/>
          <w:iCs/>
          <w:sz w:val="24"/>
          <w:szCs w:val="24"/>
        </w:rPr>
        <w:t>O Honorável Marcus Mosiah Garvey.</w:t>
      </w:r>
      <w:r w:rsidRPr="009E3A67">
        <w:rPr>
          <w:rFonts w:ascii="Times New Roman" w:hAnsi="Times New Roman" w:cs="Times New Roman"/>
          <w:sz w:val="24"/>
          <w:szCs w:val="24"/>
        </w:rPr>
        <w:t xml:space="preserve"> Disponível em: </w:t>
      </w:r>
      <w:hyperlink r:id="rId29" w:history="1">
        <w:r w:rsidRPr="009E3A67">
          <w:rPr>
            <w:rStyle w:val="Hyperlink"/>
            <w:rFonts w:ascii="Times New Roman" w:hAnsi="Times New Roman" w:cs="Times New Roman"/>
            <w:sz w:val="24"/>
            <w:szCs w:val="24"/>
          </w:rPr>
          <w:t>https://youtu.be/5GBCf0ItYRw?si=WEwHYkA3kI5I9NXr</w:t>
        </w:r>
      </w:hyperlink>
      <w:r w:rsidRPr="009E3A67">
        <w:rPr>
          <w:rFonts w:ascii="Times New Roman" w:hAnsi="Times New Roman" w:cs="Times New Roman"/>
          <w:sz w:val="24"/>
          <w:szCs w:val="24"/>
        </w:rPr>
        <w:t>. Acessado no dia 11/03/2024.</w:t>
      </w:r>
    </w:p>
    <w:p w14:paraId="4DD98DEA" w14:textId="77777777" w:rsidR="0007060A" w:rsidRPr="009E3A67" w:rsidRDefault="0007060A" w:rsidP="00E83AC6">
      <w:pPr>
        <w:pStyle w:val="PargrafodaLista"/>
        <w:spacing w:after="0" w:line="240" w:lineRule="auto"/>
        <w:ind w:left="0"/>
        <w:jc w:val="both"/>
        <w:rPr>
          <w:rFonts w:ascii="Times New Roman" w:hAnsi="Times New Roman" w:cs="Times New Roman"/>
          <w:kern w:val="2"/>
          <w:sz w:val="24"/>
          <w:szCs w:val="24"/>
          <w14:ligatures w14:val="standardContextual"/>
        </w:rPr>
      </w:pPr>
    </w:p>
    <w:p w14:paraId="2E262532"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QUIJANO, A (2005). </w:t>
      </w:r>
      <w:r w:rsidRPr="009E3A67">
        <w:rPr>
          <w:rFonts w:ascii="Times New Roman" w:eastAsia="Calibri" w:hAnsi="Times New Roman" w:cs="Times New Roman"/>
          <w:i/>
          <w:iCs/>
          <w:sz w:val="24"/>
          <w:szCs w:val="24"/>
          <w:lang w:eastAsia="pt-PT"/>
        </w:rPr>
        <w:t>Colonialidade do poder, eurocentrismo e América Latina</w:t>
      </w:r>
      <w:r w:rsidRPr="009E3A67">
        <w:rPr>
          <w:rFonts w:ascii="Times New Roman" w:eastAsia="Calibri" w:hAnsi="Times New Roman" w:cs="Times New Roman"/>
          <w:sz w:val="24"/>
          <w:szCs w:val="24"/>
          <w:lang w:eastAsia="pt-PT"/>
        </w:rPr>
        <w:t xml:space="preserve">. In: LANDER, E. (ed.).A colonialidade do saber: eurocentrismo e ciências sociais, Buenos Aires, pp. 227-278. Disponível em: </w:t>
      </w:r>
      <w:hyperlink r:id="rId30" w:history="1">
        <w:r w:rsidRPr="009E3A67">
          <w:rPr>
            <w:rStyle w:val="Hyperlink"/>
            <w:rFonts w:ascii="Times New Roman" w:eastAsia="Calibri" w:hAnsi="Times New Roman" w:cs="Times New Roman"/>
            <w:sz w:val="24"/>
            <w:szCs w:val="24"/>
            <w:lang w:eastAsia="pt-PT"/>
          </w:rPr>
          <w:t>https://biblioteca.clacso.edu.ar/clacso/sur-sur/20100624103322/12_Quijano.pdf</w:t>
        </w:r>
      </w:hyperlink>
      <w:r w:rsidRPr="009E3A67">
        <w:rPr>
          <w:rFonts w:ascii="Times New Roman" w:eastAsia="Calibri" w:hAnsi="Times New Roman" w:cs="Times New Roman"/>
          <w:sz w:val="24"/>
          <w:szCs w:val="24"/>
          <w:lang w:eastAsia="pt-PT"/>
        </w:rPr>
        <w:t>. Acesso em 15/02/2025.</w:t>
      </w:r>
    </w:p>
    <w:p w14:paraId="086DCB2E"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77185948"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QUIJILA, Abel Calombo; GABARRA, Larissa Oliveira e. </w:t>
      </w:r>
      <w:r w:rsidRPr="009E3A67">
        <w:rPr>
          <w:rFonts w:ascii="Times New Roman" w:eastAsia="Calibri" w:hAnsi="Times New Roman" w:cs="Times New Roman"/>
          <w:i/>
          <w:iCs/>
          <w:sz w:val="24"/>
          <w:szCs w:val="24"/>
          <w:lang w:eastAsia="pt-PT"/>
        </w:rPr>
        <w:t>Kimpa Vita: um caso de resistência contra o projeto de colonialismo na África no século XVII.</w:t>
      </w:r>
      <w:r w:rsidRPr="009E3A67">
        <w:rPr>
          <w:rFonts w:ascii="Times New Roman" w:eastAsia="Calibri" w:hAnsi="Times New Roman" w:cs="Times New Roman"/>
          <w:sz w:val="24"/>
          <w:szCs w:val="24"/>
          <w:lang w:eastAsia="pt-PT"/>
        </w:rPr>
        <w:t xml:space="preserve"> In: GOMES, Arilson dos Santos; BARBOZA, Edson Holanda Lima (orgs); Ensaios interdisciplinares em humanidades. Vol.5; Rio Grande: Editora da FURG, p.21-41, 2022.</w:t>
      </w:r>
    </w:p>
    <w:p w14:paraId="7C261A7C"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5CD306A6"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RAMOSE, M. B. </w:t>
      </w:r>
      <w:r w:rsidRPr="009E3A67">
        <w:rPr>
          <w:rFonts w:ascii="Times New Roman" w:eastAsia="Calibri" w:hAnsi="Times New Roman" w:cs="Times New Roman"/>
          <w:i/>
          <w:iCs/>
          <w:sz w:val="24"/>
          <w:szCs w:val="24"/>
          <w:lang w:eastAsia="pt-PT"/>
        </w:rPr>
        <w:t>Sobre a Legitimidade e o Estudo da Filosofia Africana</w:t>
      </w:r>
      <w:r w:rsidRPr="009E3A67">
        <w:rPr>
          <w:rFonts w:ascii="Times New Roman" w:eastAsia="Calibri" w:hAnsi="Times New Roman" w:cs="Times New Roman"/>
          <w:sz w:val="24"/>
          <w:szCs w:val="24"/>
          <w:lang w:eastAsia="pt-PT"/>
        </w:rPr>
        <w:t xml:space="preserve"> .</w:t>
      </w:r>
      <w:r w:rsidRPr="009E3A67">
        <w:rPr>
          <w:rFonts w:ascii="Times New Roman" w:hAnsi="Times New Roman" w:cs="Times New Roman"/>
          <w:sz w:val="24"/>
          <w:szCs w:val="24"/>
        </w:rPr>
        <w:t xml:space="preserve"> </w:t>
      </w:r>
      <w:r w:rsidRPr="009E3A67">
        <w:rPr>
          <w:rFonts w:ascii="Times New Roman" w:eastAsia="Calibri" w:hAnsi="Times New Roman" w:cs="Times New Roman"/>
          <w:sz w:val="24"/>
          <w:szCs w:val="24"/>
          <w:lang w:eastAsia="pt-PT"/>
        </w:rPr>
        <w:t>Ensaios Filosóficos, Volume IV - outubro/2011.</w:t>
      </w:r>
    </w:p>
    <w:p w14:paraId="26B2F509"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3A6F0EDF"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RODNEY, Walter. </w:t>
      </w:r>
      <w:r w:rsidRPr="009E3A67">
        <w:rPr>
          <w:rFonts w:ascii="Times New Roman" w:eastAsia="Calibri" w:hAnsi="Times New Roman" w:cs="Times New Roman"/>
          <w:i/>
          <w:iCs/>
          <w:sz w:val="24"/>
          <w:szCs w:val="24"/>
          <w:lang w:eastAsia="pt-PT"/>
        </w:rPr>
        <w:t>Como a Europa subdesenvolveu a África</w:t>
      </w:r>
      <w:r w:rsidRPr="009E3A67">
        <w:rPr>
          <w:rFonts w:ascii="Times New Roman" w:eastAsia="Calibri" w:hAnsi="Times New Roman" w:cs="Times New Roman"/>
          <w:sz w:val="24"/>
          <w:szCs w:val="24"/>
          <w:lang w:eastAsia="pt-PT"/>
        </w:rPr>
        <w:t>. Lisboa. Editora Seara Nova, 1975.</w:t>
      </w:r>
    </w:p>
    <w:p w14:paraId="519A481E"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26CD8F33"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SANTOS, Harlan Gelson Rodrigues dos. </w:t>
      </w:r>
      <w:r w:rsidRPr="009E3A67">
        <w:rPr>
          <w:rFonts w:ascii="Times New Roman" w:eastAsia="Calibri" w:hAnsi="Times New Roman" w:cs="Times New Roman"/>
          <w:i/>
          <w:iCs/>
          <w:sz w:val="24"/>
          <w:szCs w:val="24"/>
          <w:lang w:eastAsia="pt-PT"/>
        </w:rPr>
        <w:t>O pensamento pan-africano na contemporaneidade: o caso da Agenda 2063.</w:t>
      </w:r>
      <w:r w:rsidRPr="009E3A67">
        <w:rPr>
          <w:rFonts w:ascii="Times New Roman" w:eastAsia="Calibri" w:hAnsi="Times New Roman" w:cs="Times New Roman"/>
          <w:sz w:val="24"/>
          <w:szCs w:val="24"/>
          <w:lang w:eastAsia="pt-PT"/>
        </w:rPr>
        <w:t xml:space="preserve"> Monografia (Programa de Graduação História). Universidade de Brasília. UNEB, Brasília, 2019. Disponível em: </w:t>
      </w:r>
      <w:hyperlink r:id="rId31" w:history="1">
        <w:r w:rsidRPr="009E3A67">
          <w:rPr>
            <w:rStyle w:val="Hyperlink"/>
            <w:rFonts w:ascii="Times New Roman" w:eastAsia="Calibri" w:hAnsi="Times New Roman" w:cs="Times New Roman"/>
            <w:sz w:val="24"/>
            <w:szCs w:val="24"/>
            <w:lang w:eastAsia="pt-PT"/>
          </w:rPr>
          <w:t>https://bdm.unb.br/handle/10483/23765</w:t>
        </w:r>
      </w:hyperlink>
      <w:r w:rsidRPr="009E3A67">
        <w:rPr>
          <w:rFonts w:ascii="Times New Roman" w:eastAsia="Calibri" w:hAnsi="Times New Roman" w:cs="Times New Roman"/>
          <w:sz w:val="24"/>
          <w:szCs w:val="24"/>
          <w:lang w:eastAsia="pt-PT"/>
        </w:rPr>
        <w:t>. Acesso em 15/03/2025.</w:t>
      </w:r>
    </w:p>
    <w:p w14:paraId="36FB6B5F"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6652FF2A"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kern w:val="2"/>
          <w:sz w:val="24"/>
          <w:szCs w:val="24"/>
          <w14:ligatures w14:val="standardContextual"/>
        </w:rPr>
      </w:pPr>
      <w:r w:rsidRPr="009E3A67">
        <w:rPr>
          <w:rFonts w:ascii="Times New Roman" w:hAnsi="Times New Roman" w:cs="Times New Roman"/>
          <w:sz w:val="24"/>
          <w:szCs w:val="24"/>
        </w:rPr>
        <w:t xml:space="preserve">Sobre a CEDEAO. Disponível em: </w:t>
      </w:r>
      <w:hyperlink r:id="rId32" w:history="1">
        <w:r w:rsidRPr="009E3A67">
          <w:rPr>
            <w:rStyle w:val="Hyperlink"/>
            <w:rFonts w:ascii="Times New Roman" w:hAnsi="Times New Roman" w:cs="Times New Roman"/>
            <w:sz w:val="24"/>
            <w:szCs w:val="24"/>
          </w:rPr>
          <w:t>https://www.ecowas.int/sobre-a-cedeao/?lang=pt-pt</w:t>
        </w:r>
      </w:hyperlink>
      <w:r w:rsidRPr="009E3A67">
        <w:rPr>
          <w:rFonts w:ascii="Times New Roman" w:hAnsi="Times New Roman" w:cs="Times New Roman"/>
          <w:sz w:val="24"/>
          <w:szCs w:val="24"/>
        </w:rPr>
        <w:t>. Acessado no dia 17/06/2024.</w:t>
      </w:r>
    </w:p>
    <w:p w14:paraId="1913DE6E" w14:textId="77777777" w:rsidR="0007060A" w:rsidRPr="009E3A67" w:rsidRDefault="0007060A" w:rsidP="00E83AC6">
      <w:pPr>
        <w:pStyle w:val="PargrafodaLista"/>
        <w:spacing w:after="0" w:line="240" w:lineRule="auto"/>
        <w:ind w:left="0"/>
        <w:jc w:val="both"/>
        <w:rPr>
          <w:rFonts w:ascii="Times New Roman" w:hAnsi="Times New Roman" w:cs="Times New Roman"/>
          <w:kern w:val="2"/>
          <w:sz w:val="24"/>
          <w:szCs w:val="24"/>
          <w14:ligatures w14:val="standardContextual"/>
        </w:rPr>
      </w:pPr>
    </w:p>
    <w:p w14:paraId="2A48D237"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TATI, Raul. </w:t>
      </w:r>
      <w:r w:rsidRPr="009E3A67">
        <w:rPr>
          <w:rFonts w:ascii="Times New Roman" w:eastAsia="Calibri" w:hAnsi="Times New Roman" w:cs="Times New Roman"/>
          <w:i/>
          <w:iCs/>
          <w:sz w:val="24"/>
          <w:szCs w:val="24"/>
          <w:lang w:eastAsia="pt-PT"/>
        </w:rPr>
        <w:t>África-que lideranças políticas para os desafios do século XXI?.</w:t>
      </w:r>
      <w:r w:rsidRPr="009E3A67">
        <w:rPr>
          <w:rFonts w:ascii="Times New Roman" w:eastAsia="Calibri" w:hAnsi="Times New Roman" w:cs="Times New Roman"/>
          <w:sz w:val="24"/>
          <w:szCs w:val="24"/>
          <w:lang w:eastAsia="pt-PT"/>
        </w:rPr>
        <w:t xml:space="preserve"> Braga: Estratégia , v. 31,pp.1-17, 2022. Disponível em: </w:t>
      </w:r>
      <w:hyperlink r:id="rId33" w:history="1">
        <w:r w:rsidRPr="009E3A67">
          <w:rPr>
            <w:rStyle w:val="Hyperlink"/>
            <w:rFonts w:ascii="Times New Roman" w:eastAsia="Calibri" w:hAnsi="Times New Roman" w:cs="Times New Roman"/>
            <w:sz w:val="24"/>
            <w:szCs w:val="24"/>
            <w:lang w:eastAsia="pt-PT"/>
          </w:rPr>
          <w:t>https://ciencia.ucp.pt/en/publications/%C3%A1frica-que-lideran%C3%A7as-pol%C3%ADticas-para-os-desafios-do-s%C3%A9culo-xxi</w:t>
        </w:r>
      </w:hyperlink>
      <w:r w:rsidRPr="009E3A67">
        <w:rPr>
          <w:rFonts w:ascii="Times New Roman" w:eastAsia="Calibri" w:hAnsi="Times New Roman" w:cs="Times New Roman"/>
          <w:sz w:val="24"/>
          <w:szCs w:val="24"/>
          <w:lang w:eastAsia="pt-PT"/>
        </w:rPr>
        <w:t>. Acesso em 17/04/2025.</w:t>
      </w:r>
    </w:p>
    <w:p w14:paraId="46B560EC"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37540883"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kern w:val="2"/>
          <w:sz w:val="24"/>
          <w:szCs w:val="24"/>
          <w14:ligatures w14:val="standardContextual"/>
        </w:rPr>
      </w:pPr>
      <w:r w:rsidRPr="009E3A67">
        <w:rPr>
          <w:rFonts w:ascii="Times New Roman" w:hAnsi="Times New Roman" w:cs="Times New Roman"/>
          <w:i/>
          <w:iCs/>
          <w:sz w:val="24"/>
          <w:szCs w:val="24"/>
        </w:rPr>
        <w:t>Terrorismo em Cabo Delgado</w:t>
      </w:r>
      <w:r w:rsidRPr="009E3A67">
        <w:rPr>
          <w:rFonts w:ascii="Times New Roman" w:hAnsi="Times New Roman" w:cs="Times New Roman"/>
          <w:sz w:val="24"/>
          <w:szCs w:val="24"/>
        </w:rPr>
        <w:t xml:space="preserve">. Disponível em: </w:t>
      </w:r>
      <w:hyperlink r:id="rId34" w:history="1">
        <w:r w:rsidRPr="009E3A67">
          <w:rPr>
            <w:rStyle w:val="Hyperlink"/>
            <w:rFonts w:ascii="Times New Roman" w:hAnsi="Times New Roman" w:cs="Times New Roman"/>
            <w:sz w:val="24"/>
            <w:szCs w:val="24"/>
          </w:rPr>
          <w:t>https://www.dw.com/pt-002/terrorismo-em-cabo-delgado/t-55180646</w:t>
        </w:r>
      </w:hyperlink>
      <w:r w:rsidRPr="009E3A67">
        <w:rPr>
          <w:rFonts w:ascii="Times New Roman" w:hAnsi="Times New Roman" w:cs="Times New Roman"/>
          <w:sz w:val="24"/>
          <w:szCs w:val="24"/>
        </w:rPr>
        <w:t>. Acessado no dia 02/06/2024.</w:t>
      </w:r>
    </w:p>
    <w:p w14:paraId="2DD76E12" w14:textId="77777777" w:rsidR="0007060A" w:rsidRPr="009E3A67" w:rsidRDefault="0007060A" w:rsidP="00E83AC6">
      <w:pPr>
        <w:pStyle w:val="PargrafodaLista"/>
        <w:spacing w:after="0" w:line="240" w:lineRule="auto"/>
        <w:ind w:left="0"/>
        <w:jc w:val="both"/>
        <w:rPr>
          <w:rFonts w:ascii="Times New Roman" w:hAnsi="Times New Roman" w:cs="Times New Roman"/>
          <w:kern w:val="2"/>
          <w:sz w:val="24"/>
          <w:szCs w:val="24"/>
          <w14:ligatures w14:val="standardContextual"/>
        </w:rPr>
      </w:pPr>
    </w:p>
    <w:p w14:paraId="3CA67245"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i/>
          <w:iCs/>
          <w:sz w:val="24"/>
          <w:szCs w:val="24"/>
        </w:rPr>
        <w:t xml:space="preserve">Thomas Sankara explica en 1 minuto el objetivo real de las ayudas del FMI. </w:t>
      </w:r>
      <w:r w:rsidRPr="009E3A67">
        <w:rPr>
          <w:rFonts w:ascii="Times New Roman" w:hAnsi="Times New Roman" w:cs="Times New Roman"/>
          <w:sz w:val="24"/>
          <w:szCs w:val="24"/>
        </w:rPr>
        <w:t xml:space="preserve">Disponível em: </w:t>
      </w:r>
      <w:hyperlink r:id="rId35" w:history="1">
        <w:r w:rsidRPr="009E3A67">
          <w:rPr>
            <w:rStyle w:val="Hyperlink"/>
            <w:rFonts w:ascii="Times New Roman" w:hAnsi="Times New Roman" w:cs="Times New Roman"/>
            <w:sz w:val="24"/>
            <w:szCs w:val="24"/>
          </w:rPr>
          <w:t>https://youtu.be/CAFG-PeZHKo?si=srPkqmne8ECDKtM8</w:t>
        </w:r>
      </w:hyperlink>
      <w:r w:rsidRPr="009E3A67">
        <w:rPr>
          <w:rFonts w:ascii="Times New Roman" w:hAnsi="Times New Roman" w:cs="Times New Roman"/>
          <w:sz w:val="24"/>
          <w:szCs w:val="24"/>
        </w:rPr>
        <w:t>. Acessado no dia 1/07/2024.</w:t>
      </w:r>
    </w:p>
    <w:p w14:paraId="587A90B7" w14:textId="77777777" w:rsidR="0007060A" w:rsidRPr="009E3A67" w:rsidRDefault="0007060A" w:rsidP="00E83AC6">
      <w:pPr>
        <w:pStyle w:val="PargrafodaLista"/>
        <w:spacing w:after="0" w:line="240" w:lineRule="auto"/>
        <w:ind w:left="0"/>
        <w:jc w:val="both"/>
        <w:rPr>
          <w:rFonts w:ascii="Times New Roman" w:hAnsi="Times New Roman" w:cs="Times New Roman"/>
          <w:sz w:val="24"/>
          <w:szCs w:val="24"/>
        </w:rPr>
      </w:pPr>
    </w:p>
    <w:p w14:paraId="710E998A" w14:textId="77777777" w:rsidR="00DA15ED" w:rsidRPr="009E3A67" w:rsidRDefault="00CF6E98" w:rsidP="00E83AC6">
      <w:pPr>
        <w:pStyle w:val="PargrafodaLista"/>
        <w:numPr>
          <w:ilvl w:val="0"/>
          <w:numId w:val="6"/>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iCs/>
          <w:sz w:val="24"/>
          <w:szCs w:val="24"/>
        </w:rPr>
        <w:t>THOMAS SANKARA</w:t>
      </w:r>
      <w:r w:rsidR="00DA15ED" w:rsidRPr="009E3A67">
        <w:rPr>
          <w:rFonts w:ascii="Times New Roman" w:hAnsi="Times New Roman" w:cs="Times New Roman"/>
          <w:i/>
          <w:iCs/>
          <w:sz w:val="24"/>
          <w:szCs w:val="24"/>
        </w:rPr>
        <w:t>. "...e naquele dia mataram a felicidade".</w:t>
      </w:r>
      <w:r w:rsidR="00DA15ED" w:rsidRPr="009E3A67">
        <w:rPr>
          <w:rFonts w:ascii="Times New Roman" w:hAnsi="Times New Roman" w:cs="Times New Roman"/>
          <w:sz w:val="24"/>
          <w:szCs w:val="24"/>
        </w:rPr>
        <w:t xml:space="preserve"> Disponível em: </w:t>
      </w:r>
      <w:hyperlink r:id="rId36" w:history="1">
        <w:r w:rsidR="00DA15ED" w:rsidRPr="009E3A67">
          <w:rPr>
            <w:rStyle w:val="Hyperlink"/>
            <w:rFonts w:ascii="Times New Roman" w:hAnsi="Times New Roman" w:cs="Times New Roman"/>
            <w:sz w:val="24"/>
            <w:szCs w:val="24"/>
          </w:rPr>
          <w:t>https://youtu.be/20u-WWjM_50?si=XJjsZRUxmRoo3Ny4</w:t>
        </w:r>
      </w:hyperlink>
      <w:r w:rsidR="00DA15ED" w:rsidRPr="009E3A67">
        <w:rPr>
          <w:rFonts w:ascii="Times New Roman" w:hAnsi="Times New Roman" w:cs="Times New Roman"/>
          <w:sz w:val="24"/>
          <w:szCs w:val="24"/>
        </w:rPr>
        <w:t>. Acessado no dia 11/01/2024.</w:t>
      </w:r>
    </w:p>
    <w:p w14:paraId="582533E6" w14:textId="77777777" w:rsidR="0007060A" w:rsidRPr="009E3A67" w:rsidRDefault="0007060A" w:rsidP="00E83AC6">
      <w:pPr>
        <w:pStyle w:val="PargrafodaLista"/>
        <w:spacing w:after="0" w:line="240" w:lineRule="auto"/>
        <w:ind w:left="0"/>
        <w:jc w:val="both"/>
        <w:rPr>
          <w:rFonts w:ascii="Times New Roman" w:hAnsi="Times New Roman" w:cs="Times New Roman"/>
          <w:sz w:val="24"/>
          <w:szCs w:val="24"/>
        </w:rPr>
      </w:pPr>
    </w:p>
    <w:p w14:paraId="2644E6A2" w14:textId="77777777" w:rsidR="00DA15ED" w:rsidRPr="009E3A67" w:rsidRDefault="00DA15ED" w:rsidP="00E83AC6">
      <w:pPr>
        <w:pStyle w:val="PargrafodaLista"/>
        <w:numPr>
          <w:ilvl w:val="0"/>
          <w:numId w:val="6"/>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iCs/>
          <w:sz w:val="24"/>
          <w:szCs w:val="24"/>
        </w:rPr>
        <w:t>THOMAS SANKARA</w:t>
      </w:r>
      <w:r w:rsidRPr="009E3A67">
        <w:rPr>
          <w:rFonts w:ascii="Times New Roman" w:hAnsi="Times New Roman" w:cs="Times New Roman"/>
          <w:i/>
          <w:iCs/>
          <w:sz w:val="24"/>
          <w:szCs w:val="24"/>
        </w:rPr>
        <w:t>: Presente!.</w:t>
      </w:r>
      <w:r w:rsidRPr="009E3A67">
        <w:rPr>
          <w:rFonts w:ascii="Times New Roman" w:hAnsi="Times New Roman" w:cs="Times New Roman"/>
          <w:sz w:val="24"/>
          <w:szCs w:val="24"/>
        </w:rPr>
        <w:t xml:space="preserve"> Disponível em: </w:t>
      </w:r>
      <w:hyperlink r:id="rId37" w:history="1">
        <w:r w:rsidRPr="009E3A67">
          <w:rPr>
            <w:rStyle w:val="Hyperlink"/>
            <w:rFonts w:ascii="Times New Roman" w:hAnsi="Times New Roman" w:cs="Times New Roman"/>
            <w:sz w:val="24"/>
            <w:szCs w:val="24"/>
          </w:rPr>
          <w:t>https://youtu.be/WLO6HIfjseU?si=_09EgH7Dvm8C0YpH</w:t>
        </w:r>
      </w:hyperlink>
      <w:r w:rsidRPr="009E3A67">
        <w:rPr>
          <w:rFonts w:ascii="Times New Roman" w:hAnsi="Times New Roman" w:cs="Times New Roman"/>
          <w:sz w:val="24"/>
          <w:szCs w:val="24"/>
        </w:rPr>
        <w:t>. Acesso em 23/02/2024.</w:t>
      </w:r>
    </w:p>
    <w:p w14:paraId="3C5093CB" w14:textId="77777777" w:rsidR="0007060A" w:rsidRPr="009E3A67" w:rsidRDefault="0007060A" w:rsidP="00E83AC6">
      <w:pPr>
        <w:pStyle w:val="PargrafodaLista"/>
        <w:spacing w:after="0" w:line="240" w:lineRule="auto"/>
        <w:ind w:left="0"/>
        <w:jc w:val="both"/>
        <w:rPr>
          <w:rFonts w:ascii="Times New Roman" w:hAnsi="Times New Roman" w:cs="Times New Roman"/>
          <w:sz w:val="24"/>
          <w:szCs w:val="24"/>
        </w:rPr>
      </w:pPr>
    </w:p>
    <w:p w14:paraId="7A429C66"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TODOROV, Tzvetan. </w:t>
      </w:r>
      <w:r w:rsidRPr="009E3A67">
        <w:rPr>
          <w:rFonts w:ascii="Times New Roman" w:eastAsia="Calibri" w:hAnsi="Times New Roman" w:cs="Times New Roman"/>
          <w:i/>
          <w:iCs/>
          <w:sz w:val="24"/>
          <w:szCs w:val="24"/>
          <w:lang w:eastAsia="pt-PT"/>
        </w:rPr>
        <w:t>A conquista da América: A questão do outro</w:t>
      </w:r>
      <w:r w:rsidRPr="009E3A67">
        <w:rPr>
          <w:rFonts w:ascii="Times New Roman" w:eastAsia="Calibri" w:hAnsi="Times New Roman" w:cs="Times New Roman"/>
          <w:sz w:val="24"/>
          <w:szCs w:val="24"/>
          <w:lang w:eastAsia="pt-PT"/>
        </w:rPr>
        <w:t xml:space="preserve"> . Estados Unidos, University of Oklahoma Press, 1999. </w:t>
      </w:r>
    </w:p>
    <w:p w14:paraId="6876E419" w14:textId="77777777" w:rsidR="0007060A" w:rsidRPr="009E3A67" w:rsidRDefault="0007060A" w:rsidP="00E83AC6">
      <w:pPr>
        <w:pStyle w:val="PargrafodaLista"/>
        <w:spacing w:after="0" w:line="240" w:lineRule="auto"/>
        <w:ind w:left="0"/>
        <w:jc w:val="both"/>
        <w:rPr>
          <w:rFonts w:ascii="Times New Roman" w:eastAsia="Calibri" w:hAnsi="Times New Roman" w:cs="Times New Roman"/>
          <w:sz w:val="24"/>
          <w:szCs w:val="24"/>
          <w:lang w:eastAsia="pt-PT"/>
        </w:rPr>
      </w:pPr>
    </w:p>
    <w:p w14:paraId="3419746A" w14:textId="77777777" w:rsidR="00DA15ED" w:rsidRPr="009E3A67" w:rsidRDefault="00DA15ED" w:rsidP="00E83AC6">
      <w:pPr>
        <w:pStyle w:val="PargrafodaLista"/>
        <w:numPr>
          <w:ilvl w:val="0"/>
          <w:numId w:val="6"/>
        </w:numPr>
        <w:spacing w:after="0" w:line="240" w:lineRule="auto"/>
        <w:ind w:left="0" w:firstLine="0"/>
        <w:jc w:val="both"/>
        <w:rPr>
          <w:rFonts w:ascii="Times New Roman" w:eastAsia="Calibri" w:hAnsi="Times New Roman" w:cs="Times New Roman"/>
          <w:sz w:val="24"/>
          <w:szCs w:val="24"/>
          <w:lang w:eastAsia="pt-PT"/>
        </w:rPr>
      </w:pPr>
      <w:r w:rsidRPr="009E3A67">
        <w:rPr>
          <w:rFonts w:ascii="Times New Roman" w:eastAsia="Calibri" w:hAnsi="Times New Roman" w:cs="Times New Roman"/>
          <w:sz w:val="24"/>
          <w:szCs w:val="24"/>
          <w:lang w:eastAsia="pt-PT"/>
        </w:rPr>
        <w:t xml:space="preserve">TOM, Daniel Yagnye.  </w:t>
      </w:r>
      <w:r w:rsidRPr="009E3A67">
        <w:rPr>
          <w:rFonts w:ascii="Times New Roman" w:eastAsia="Calibri" w:hAnsi="Times New Roman" w:cs="Times New Roman"/>
          <w:i/>
          <w:iCs/>
          <w:sz w:val="24"/>
          <w:szCs w:val="24"/>
          <w:lang w:eastAsia="pt-PT"/>
        </w:rPr>
        <w:t xml:space="preserve">O contencioso franco-africano: os casos dos Camarões, RCA, Togo, Gabão e Chade. </w:t>
      </w:r>
      <w:r w:rsidRPr="009E3A67">
        <w:rPr>
          <w:rFonts w:ascii="Times New Roman" w:eastAsia="Calibri" w:hAnsi="Times New Roman" w:cs="Times New Roman"/>
          <w:sz w:val="24"/>
          <w:szCs w:val="24"/>
          <w:lang w:eastAsia="pt-PT"/>
        </w:rPr>
        <w:t>Trad. Juliano Mabibi. Luanda. Editora Mayamba, 2015.</w:t>
      </w:r>
    </w:p>
    <w:p w14:paraId="4F93DE79" w14:textId="77777777" w:rsidR="00DA15ED" w:rsidRPr="009E3A67" w:rsidRDefault="00DA15ED" w:rsidP="00E83AC6">
      <w:pPr>
        <w:spacing w:after="0" w:line="240" w:lineRule="auto"/>
        <w:jc w:val="both"/>
        <w:rPr>
          <w:rFonts w:ascii="Times New Roman" w:hAnsi="Times New Roman" w:cs="Times New Roman"/>
          <w:b/>
          <w:bCs/>
          <w:sz w:val="24"/>
          <w:szCs w:val="24"/>
        </w:rPr>
      </w:pPr>
    </w:p>
    <w:p w14:paraId="76CAAB3C" w14:textId="77777777" w:rsidR="00DA15ED" w:rsidRPr="009E3A67" w:rsidRDefault="00DA15ED" w:rsidP="00E83AC6">
      <w:pPr>
        <w:spacing w:after="0" w:line="240" w:lineRule="auto"/>
        <w:jc w:val="both"/>
        <w:rPr>
          <w:rFonts w:ascii="Times New Roman" w:hAnsi="Times New Roman" w:cs="Times New Roman"/>
          <w:b/>
          <w:bCs/>
          <w:sz w:val="24"/>
          <w:szCs w:val="24"/>
        </w:rPr>
      </w:pPr>
    </w:p>
    <w:p w14:paraId="5818107C" w14:textId="77777777" w:rsidR="00DA15ED" w:rsidRPr="009E3A67" w:rsidRDefault="00DA15ED" w:rsidP="00E83AC6">
      <w:pPr>
        <w:spacing w:after="0" w:line="240" w:lineRule="auto"/>
        <w:jc w:val="both"/>
        <w:rPr>
          <w:rFonts w:ascii="Times New Roman" w:hAnsi="Times New Roman" w:cs="Times New Roman"/>
          <w:b/>
          <w:bCs/>
          <w:sz w:val="24"/>
          <w:szCs w:val="24"/>
        </w:rPr>
      </w:pPr>
    </w:p>
    <w:p w14:paraId="2E3D5045" w14:textId="77777777" w:rsidR="00DA15ED" w:rsidRPr="009E3A67" w:rsidRDefault="00DA15ED" w:rsidP="00E83AC6">
      <w:pPr>
        <w:spacing w:after="0" w:line="240" w:lineRule="auto"/>
        <w:jc w:val="both"/>
        <w:rPr>
          <w:rFonts w:ascii="Times New Roman" w:hAnsi="Times New Roman" w:cs="Times New Roman"/>
          <w:b/>
          <w:bCs/>
          <w:sz w:val="24"/>
          <w:szCs w:val="24"/>
        </w:rPr>
      </w:pPr>
    </w:p>
    <w:p w14:paraId="013D3E23" w14:textId="77777777" w:rsidR="00DA15ED" w:rsidRPr="009E3A67" w:rsidRDefault="00DA15ED" w:rsidP="00E83AC6">
      <w:pPr>
        <w:spacing w:after="0" w:line="240" w:lineRule="auto"/>
        <w:jc w:val="both"/>
        <w:rPr>
          <w:rFonts w:ascii="Times New Roman" w:hAnsi="Times New Roman" w:cs="Times New Roman"/>
          <w:b/>
          <w:bCs/>
          <w:sz w:val="24"/>
          <w:szCs w:val="24"/>
        </w:rPr>
      </w:pPr>
    </w:p>
    <w:p w14:paraId="25857ABD" w14:textId="77777777" w:rsidR="00DA15ED" w:rsidRPr="009E3A67" w:rsidRDefault="00DA15ED" w:rsidP="00E83AC6">
      <w:pPr>
        <w:spacing w:after="0" w:line="240" w:lineRule="auto"/>
        <w:jc w:val="both"/>
        <w:rPr>
          <w:rFonts w:ascii="Times New Roman" w:hAnsi="Times New Roman" w:cs="Times New Roman"/>
          <w:b/>
          <w:bCs/>
          <w:sz w:val="24"/>
          <w:szCs w:val="24"/>
        </w:rPr>
      </w:pPr>
    </w:p>
    <w:p w14:paraId="0CC27D15"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1C453422"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25EDBF9A"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2CDC3E77"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18553050" w14:textId="77777777" w:rsidR="00DA15ED" w:rsidRDefault="00DA15ED" w:rsidP="00B62AF4">
      <w:pPr>
        <w:spacing w:after="0" w:line="360" w:lineRule="auto"/>
        <w:jc w:val="center"/>
        <w:rPr>
          <w:rFonts w:ascii="Times New Roman" w:hAnsi="Times New Roman" w:cs="Times New Roman"/>
          <w:b/>
          <w:bCs/>
          <w:sz w:val="24"/>
          <w:szCs w:val="24"/>
        </w:rPr>
      </w:pPr>
    </w:p>
    <w:p w14:paraId="506B0D53" w14:textId="77777777" w:rsidR="00E83AC6" w:rsidRDefault="00E83AC6" w:rsidP="00B62AF4">
      <w:pPr>
        <w:spacing w:after="0" w:line="360" w:lineRule="auto"/>
        <w:jc w:val="center"/>
        <w:rPr>
          <w:rFonts w:ascii="Times New Roman" w:hAnsi="Times New Roman" w:cs="Times New Roman"/>
          <w:b/>
          <w:bCs/>
          <w:sz w:val="24"/>
          <w:szCs w:val="24"/>
        </w:rPr>
      </w:pPr>
    </w:p>
    <w:p w14:paraId="1254D921" w14:textId="77777777" w:rsidR="00E83AC6" w:rsidRPr="009E3A67" w:rsidRDefault="00E83AC6" w:rsidP="00B62AF4">
      <w:pPr>
        <w:spacing w:after="0" w:line="360" w:lineRule="auto"/>
        <w:jc w:val="center"/>
        <w:rPr>
          <w:rFonts w:ascii="Times New Roman" w:hAnsi="Times New Roman" w:cs="Times New Roman"/>
          <w:b/>
          <w:bCs/>
          <w:sz w:val="24"/>
          <w:szCs w:val="24"/>
        </w:rPr>
      </w:pPr>
    </w:p>
    <w:p w14:paraId="172B3D6D"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70E03DF2"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65B57013"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7C997492"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261A05EB" w14:textId="77777777" w:rsidR="00DA15ED" w:rsidRPr="009E3A67" w:rsidRDefault="00DA15ED" w:rsidP="00B62AF4">
      <w:pPr>
        <w:spacing w:after="0" w:line="360" w:lineRule="auto"/>
        <w:jc w:val="center"/>
        <w:rPr>
          <w:rFonts w:ascii="Times New Roman" w:hAnsi="Times New Roman" w:cs="Times New Roman"/>
          <w:b/>
          <w:bCs/>
          <w:sz w:val="24"/>
          <w:szCs w:val="24"/>
        </w:rPr>
      </w:pPr>
    </w:p>
    <w:p w14:paraId="67DCA8AB" w14:textId="77777777" w:rsidR="00737198" w:rsidRDefault="00737198" w:rsidP="00B62AF4">
      <w:pPr>
        <w:spacing w:after="0" w:line="360" w:lineRule="auto"/>
        <w:jc w:val="center"/>
        <w:rPr>
          <w:rFonts w:ascii="Times New Roman" w:hAnsi="Times New Roman" w:cs="Times New Roman"/>
          <w:b/>
          <w:bCs/>
          <w:sz w:val="24"/>
          <w:szCs w:val="24"/>
        </w:rPr>
      </w:pPr>
    </w:p>
    <w:p w14:paraId="7EC45187" w14:textId="77777777" w:rsidR="00E83AC6" w:rsidRDefault="00E83AC6" w:rsidP="00B62AF4">
      <w:pPr>
        <w:spacing w:after="0" w:line="360" w:lineRule="auto"/>
        <w:jc w:val="center"/>
        <w:rPr>
          <w:rFonts w:ascii="Times New Roman" w:hAnsi="Times New Roman" w:cs="Times New Roman"/>
          <w:b/>
          <w:bCs/>
          <w:sz w:val="24"/>
          <w:szCs w:val="24"/>
        </w:rPr>
      </w:pPr>
    </w:p>
    <w:p w14:paraId="4D737845" w14:textId="77777777" w:rsidR="00E83AC6" w:rsidRDefault="00E83AC6" w:rsidP="00B62AF4">
      <w:pPr>
        <w:spacing w:after="0" w:line="360" w:lineRule="auto"/>
        <w:jc w:val="center"/>
        <w:rPr>
          <w:rFonts w:ascii="Times New Roman" w:hAnsi="Times New Roman" w:cs="Times New Roman"/>
          <w:b/>
          <w:bCs/>
          <w:sz w:val="24"/>
          <w:szCs w:val="24"/>
        </w:rPr>
      </w:pPr>
    </w:p>
    <w:p w14:paraId="7A81A383" w14:textId="77777777" w:rsidR="00E83AC6" w:rsidRDefault="00E83AC6" w:rsidP="00B62AF4">
      <w:pPr>
        <w:spacing w:after="0" w:line="360" w:lineRule="auto"/>
        <w:jc w:val="center"/>
        <w:rPr>
          <w:rFonts w:ascii="Times New Roman" w:hAnsi="Times New Roman" w:cs="Times New Roman"/>
          <w:b/>
          <w:bCs/>
          <w:sz w:val="24"/>
          <w:szCs w:val="24"/>
        </w:rPr>
      </w:pPr>
    </w:p>
    <w:p w14:paraId="4DC9EF90" w14:textId="77777777" w:rsidR="00E83AC6" w:rsidRDefault="00E83AC6" w:rsidP="00B62AF4">
      <w:pPr>
        <w:spacing w:after="0" w:line="360" w:lineRule="auto"/>
        <w:jc w:val="center"/>
        <w:rPr>
          <w:rFonts w:ascii="Times New Roman" w:hAnsi="Times New Roman" w:cs="Times New Roman"/>
          <w:b/>
          <w:bCs/>
          <w:sz w:val="24"/>
          <w:szCs w:val="24"/>
        </w:rPr>
      </w:pPr>
    </w:p>
    <w:p w14:paraId="0C94EA98" w14:textId="77777777" w:rsidR="00E83AC6" w:rsidRDefault="00E83AC6" w:rsidP="00B62AF4">
      <w:pPr>
        <w:spacing w:after="0" w:line="360" w:lineRule="auto"/>
        <w:jc w:val="center"/>
        <w:rPr>
          <w:rFonts w:ascii="Times New Roman" w:hAnsi="Times New Roman" w:cs="Times New Roman"/>
          <w:b/>
          <w:bCs/>
          <w:sz w:val="24"/>
          <w:szCs w:val="24"/>
        </w:rPr>
      </w:pPr>
    </w:p>
    <w:p w14:paraId="236CE37C" w14:textId="77777777" w:rsidR="00E83AC6" w:rsidRDefault="00E83AC6" w:rsidP="00B62AF4">
      <w:pPr>
        <w:spacing w:after="0" w:line="360" w:lineRule="auto"/>
        <w:jc w:val="center"/>
        <w:rPr>
          <w:rFonts w:ascii="Times New Roman" w:hAnsi="Times New Roman" w:cs="Times New Roman"/>
          <w:b/>
          <w:bCs/>
          <w:sz w:val="24"/>
          <w:szCs w:val="24"/>
        </w:rPr>
      </w:pPr>
    </w:p>
    <w:p w14:paraId="2CF555D3" w14:textId="77777777" w:rsidR="00E83AC6" w:rsidRDefault="00E83AC6" w:rsidP="00B62AF4">
      <w:pPr>
        <w:spacing w:after="0" w:line="360" w:lineRule="auto"/>
        <w:jc w:val="center"/>
        <w:rPr>
          <w:rFonts w:ascii="Times New Roman" w:hAnsi="Times New Roman" w:cs="Times New Roman"/>
          <w:b/>
          <w:bCs/>
          <w:sz w:val="24"/>
          <w:szCs w:val="24"/>
        </w:rPr>
      </w:pPr>
    </w:p>
    <w:p w14:paraId="6A21F7D5" w14:textId="77777777" w:rsidR="00E83AC6" w:rsidRPr="009E3A67" w:rsidRDefault="00E83AC6" w:rsidP="00B62AF4">
      <w:pPr>
        <w:spacing w:after="0" w:line="360" w:lineRule="auto"/>
        <w:jc w:val="center"/>
        <w:rPr>
          <w:rFonts w:ascii="Times New Roman" w:hAnsi="Times New Roman" w:cs="Times New Roman"/>
          <w:b/>
          <w:bCs/>
          <w:sz w:val="24"/>
          <w:szCs w:val="24"/>
        </w:rPr>
      </w:pPr>
    </w:p>
    <w:p w14:paraId="4F61CC08" w14:textId="77777777" w:rsidR="00DA15ED" w:rsidRDefault="00DA15ED" w:rsidP="00B62AF4">
      <w:pPr>
        <w:spacing w:after="0" w:line="360" w:lineRule="auto"/>
        <w:jc w:val="center"/>
        <w:rPr>
          <w:rFonts w:ascii="Times New Roman" w:hAnsi="Times New Roman" w:cs="Times New Roman"/>
          <w:b/>
          <w:bCs/>
          <w:sz w:val="24"/>
          <w:szCs w:val="24"/>
        </w:rPr>
      </w:pPr>
    </w:p>
    <w:p w14:paraId="550C22EE" w14:textId="77777777" w:rsidR="00E83AC6" w:rsidRPr="009E3A67" w:rsidRDefault="00E83AC6" w:rsidP="00B62AF4">
      <w:pPr>
        <w:spacing w:after="0" w:line="360" w:lineRule="auto"/>
        <w:jc w:val="center"/>
        <w:rPr>
          <w:rFonts w:ascii="Times New Roman" w:hAnsi="Times New Roman" w:cs="Times New Roman"/>
          <w:b/>
          <w:bCs/>
          <w:sz w:val="24"/>
          <w:szCs w:val="24"/>
        </w:rPr>
      </w:pPr>
    </w:p>
    <w:p w14:paraId="75DD2991" w14:textId="77777777" w:rsidR="00B62AF4" w:rsidRPr="009E3A67" w:rsidRDefault="00B62AF4" w:rsidP="007652D0">
      <w:pPr>
        <w:spacing w:after="0" w:line="240" w:lineRule="auto"/>
        <w:jc w:val="center"/>
        <w:rPr>
          <w:rFonts w:ascii="Times New Roman" w:hAnsi="Times New Roman" w:cs="Times New Roman"/>
          <w:b/>
          <w:bCs/>
          <w:sz w:val="24"/>
          <w:szCs w:val="24"/>
        </w:rPr>
      </w:pPr>
      <w:r w:rsidRPr="009E3A67">
        <w:rPr>
          <w:rFonts w:ascii="Times New Roman" w:hAnsi="Times New Roman" w:cs="Times New Roman"/>
          <w:b/>
          <w:bCs/>
          <w:sz w:val="24"/>
          <w:szCs w:val="24"/>
        </w:rPr>
        <w:t>SIONISMO COMO COLONIALISMO DE POVOAMENTO: MODERNIDADE OCIDENTAL E DIREITOS HUMANOS</w:t>
      </w:r>
    </w:p>
    <w:p w14:paraId="409097A3" w14:textId="77777777" w:rsidR="00B62AF4" w:rsidRPr="009E3A67" w:rsidRDefault="00B62AF4" w:rsidP="007652D0">
      <w:pPr>
        <w:spacing w:after="0" w:line="240" w:lineRule="auto"/>
        <w:jc w:val="center"/>
        <w:rPr>
          <w:rFonts w:ascii="Times New Roman" w:hAnsi="Times New Roman" w:cs="Times New Roman"/>
          <w:b/>
          <w:bCs/>
          <w:sz w:val="24"/>
          <w:szCs w:val="24"/>
        </w:rPr>
      </w:pPr>
    </w:p>
    <w:p w14:paraId="06161AB7" w14:textId="77777777" w:rsidR="00B62AF4" w:rsidRPr="009E3A67" w:rsidRDefault="00B62AF4" w:rsidP="007652D0">
      <w:pPr>
        <w:spacing w:after="0" w:line="240" w:lineRule="auto"/>
        <w:jc w:val="center"/>
        <w:rPr>
          <w:rFonts w:ascii="Times New Roman" w:hAnsi="Times New Roman" w:cs="Times New Roman"/>
          <w:b/>
          <w:bCs/>
          <w:sz w:val="24"/>
          <w:szCs w:val="24"/>
          <w:lang w:val="en-US"/>
        </w:rPr>
      </w:pPr>
      <w:r w:rsidRPr="009E3A67">
        <w:rPr>
          <w:rFonts w:ascii="Times New Roman" w:hAnsi="Times New Roman" w:cs="Times New Roman"/>
          <w:b/>
          <w:bCs/>
          <w:sz w:val="24"/>
          <w:szCs w:val="24"/>
          <w:lang w:val="en-US"/>
        </w:rPr>
        <w:t>ZIONISM AS SETTLER-COLONIALISM: WESTERN MODERNITY AND HUMAN RIGHTS</w:t>
      </w:r>
    </w:p>
    <w:p w14:paraId="190B916F" w14:textId="77777777" w:rsidR="00B62AF4" w:rsidRDefault="00B62AF4" w:rsidP="00B62AF4">
      <w:pPr>
        <w:tabs>
          <w:tab w:val="left" w:pos="3630"/>
        </w:tabs>
        <w:jc w:val="center"/>
        <w:rPr>
          <w:rFonts w:ascii="Times New Roman" w:hAnsi="Times New Roman" w:cs="Times New Roman"/>
        </w:rPr>
      </w:pPr>
    </w:p>
    <w:p w14:paraId="368D8099" w14:textId="77777777" w:rsidR="007652D0" w:rsidRPr="009E3A67" w:rsidRDefault="007652D0" w:rsidP="00B62AF4">
      <w:pPr>
        <w:tabs>
          <w:tab w:val="left" w:pos="3630"/>
        </w:tabs>
        <w:jc w:val="center"/>
        <w:rPr>
          <w:rFonts w:ascii="Times New Roman" w:hAnsi="Times New Roman" w:cs="Times New Roman"/>
        </w:rPr>
      </w:pPr>
    </w:p>
    <w:p w14:paraId="6BD71694" w14:textId="77777777" w:rsidR="00B62AF4" w:rsidRPr="009E3A67" w:rsidRDefault="00B62AF4" w:rsidP="00B62AF4">
      <w:pPr>
        <w:tabs>
          <w:tab w:val="left" w:pos="3630"/>
        </w:tabs>
        <w:spacing w:before="240"/>
        <w:jc w:val="right"/>
        <w:rPr>
          <w:rFonts w:ascii="Times New Roman" w:hAnsi="Times New Roman" w:cs="Times New Roman"/>
          <w:sz w:val="28"/>
          <w:szCs w:val="28"/>
        </w:rPr>
      </w:pPr>
      <w:r w:rsidRPr="009E3A67">
        <w:rPr>
          <w:rFonts w:ascii="Times New Roman" w:hAnsi="Times New Roman" w:cs="Times New Roman"/>
          <w:sz w:val="28"/>
          <w:szCs w:val="28"/>
          <w:shd w:val="clear" w:color="auto" w:fill="FFFFFF"/>
        </w:rPr>
        <w:t>Bruno Costa </w:t>
      </w:r>
    </w:p>
    <w:p w14:paraId="358A2201" w14:textId="77777777" w:rsidR="00B62AF4" w:rsidRPr="009E3A67" w:rsidRDefault="00B62AF4" w:rsidP="003C5B38">
      <w:pPr>
        <w:tabs>
          <w:tab w:val="left" w:pos="3630"/>
        </w:tabs>
        <w:spacing w:after="0" w:line="360" w:lineRule="auto"/>
        <w:ind w:left="2268"/>
        <w:jc w:val="both"/>
        <w:rPr>
          <w:rFonts w:ascii="Times New Roman" w:hAnsi="Times New Roman" w:cs="Times New Roman"/>
          <w:b/>
          <w:sz w:val="24"/>
          <w:szCs w:val="24"/>
        </w:rPr>
      </w:pPr>
      <w:r w:rsidRPr="009E3A67">
        <w:rPr>
          <w:rStyle w:val="Forte"/>
          <w:rFonts w:ascii="Times New Roman" w:hAnsi="Times New Roman" w:cs="Times New Roman"/>
          <w:b w:val="0"/>
          <w:sz w:val="24"/>
          <w:szCs w:val="24"/>
          <w:shd w:val="clear" w:color="auto" w:fill="FFFFFF"/>
        </w:rPr>
        <w:t>Doutorando do Programa Pós-Colonialismos e Cidadania Global (financiado pela Fundação para a Ciência e a Tecnologia entre 2019 e 2023 e com trabalho de campo realizado entre setembro e dezembro de 2022 na Universidade de Birzeit, Palestina), coordenado pelo Centro de Estudos Sociais em parceria com a Faculdade de Economia da Universidade de Coimbra.</w:t>
      </w:r>
    </w:p>
    <w:p w14:paraId="0F474C1E" w14:textId="77777777" w:rsidR="00B62AF4" w:rsidRPr="009E3A67" w:rsidRDefault="00B62AF4" w:rsidP="00B62AF4">
      <w:pPr>
        <w:tabs>
          <w:tab w:val="left" w:pos="3630"/>
        </w:tabs>
        <w:spacing w:line="360" w:lineRule="auto"/>
        <w:jc w:val="both"/>
        <w:rPr>
          <w:rFonts w:ascii="Times New Roman" w:hAnsi="Times New Roman" w:cs="Times New Roman"/>
        </w:rPr>
      </w:pPr>
    </w:p>
    <w:p w14:paraId="3D3FE6E0" w14:textId="77777777" w:rsidR="00B62AF4" w:rsidRPr="009E3A67" w:rsidRDefault="00B62AF4" w:rsidP="00B62AF4">
      <w:pPr>
        <w:tabs>
          <w:tab w:val="left" w:pos="3630"/>
        </w:tabs>
        <w:jc w:val="center"/>
        <w:rPr>
          <w:rFonts w:ascii="Times New Roman" w:hAnsi="Times New Roman" w:cs="Times New Roman"/>
        </w:rPr>
      </w:pPr>
    </w:p>
    <w:p w14:paraId="57890042" w14:textId="77777777" w:rsidR="00B62AF4" w:rsidRPr="009E3A67" w:rsidRDefault="00B62AF4" w:rsidP="00B62AF4">
      <w:pPr>
        <w:tabs>
          <w:tab w:val="left" w:pos="3630"/>
        </w:tabs>
        <w:jc w:val="center"/>
        <w:rPr>
          <w:rFonts w:ascii="Times New Roman" w:hAnsi="Times New Roman" w:cs="Times New Roman"/>
        </w:rPr>
      </w:pPr>
    </w:p>
    <w:p w14:paraId="3DDBB87F" w14:textId="77777777" w:rsidR="00B62AF4" w:rsidRPr="009E3A67" w:rsidRDefault="00B62AF4" w:rsidP="00B62AF4">
      <w:pPr>
        <w:rPr>
          <w:rFonts w:ascii="Times New Roman" w:hAnsi="Times New Roman" w:cs="Times New Roman"/>
        </w:rPr>
      </w:pPr>
    </w:p>
    <w:p w14:paraId="3141B5C8" w14:textId="77777777" w:rsidR="00B62AF4" w:rsidRPr="009E3A67" w:rsidRDefault="00B62AF4" w:rsidP="00B62AF4">
      <w:pPr>
        <w:rPr>
          <w:rFonts w:ascii="Times New Roman" w:hAnsi="Times New Roman" w:cs="Times New Roman"/>
        </w:rPr>
      </w:pPr>
    </w:p>
    <w:p w14:paraId="40E784BC" w14:textId="77777777" w:rsidR="00B62AF4" w:rsidRPr="009E3A67" w:rsidRDefault="00B62AF4" w:rsidP="00B62AF4">
      <w:pPr>
        <w:rPr>
          <w:rFonts w:ascii="Times New Roman" w:hAnsi="Times New Roman" w:cs="Times New Roman"/>
        </w:rPr>
      </w:pPr>
    </w:p>
    <w:p w14:paraId="0CDBFA4A" w14:textId="77777777" w:rsidR="00B62AF4" w:rsidRPr="009E3A67" w:rsidRDefault="00B62AF4" w:rsidP="00B62AF4">
      <w:pPr>
        <w:rPr>
          <w:rFonts w:ascii="Times New Roman" w:hAnsi="Times New Roman" w:cs="Times New Roman"/>
        </w:rPr>
      </w:pPr>
    </w:p>
    <w:p w14:paraId="6E1DA220" w14:textId="77777777" w:rsidR="00B62AF4" w:rsidRPr="009E3A67" w:rsidRDefault="00B62AF4" w:rsidP="00B62AF4">
      <w:pPr>
        <w:rPr>
          <w:rFonts w:ascii="Times New Roman" w:hAnsi="Times New Roman" w:cs="Times New Roman"/>
        </w:rPr>
      </w:pPr>
    </w:p>
    <w:p w14:paraId="01E19D24" w14:textId="77777777" w:rsidR="00B62AF4" w:rsidRPr="009E3A67" w:rsidRDefault="00B62AF4" w:rsidP="00B62AF4">
      <w:pPr>
        <w:rPr>
          <w:rFonts w:ascii="Times New Roman" w:hAnsi="Times New Roman" w:cs="Times New Roman"/>
        </w:rPr>
      </w:pPr>
    </w:p>
    <w:p w14:paraId="475616C4" w14:textId="77777777" w:rsidR="00B62AF4" w:rsidRPr="009E3A67" w:rsidRDefault="00B62AF4" w:rsidP="00B62AF4">
      <w:pPr>
        <w:rPr>
          <w:rFonts w:ascii="Times New Roman" w:hAnsi="Times New Roman" w:cs="Times New Roman"/>
        </w:rPr>
      </w:pPr>
    </w:p>
    <w:p w14:paraId="4CB428E2" w14:textId="77777777" w:rsidR="00B62AF4" w:rsidRPr="009E3A67" w:rsidRDefault="00B62AF4" w:rsidP="00B62AF4">
      <w:pPr>
        <w:rPr>
          <w:rFonts w:ascii="Times New Roman" w:hAnsi="Times New Roman" w:cs="Times New Roman"/>
        </w:rPr>
      </w:pPr>
    </w:p>
    <w:p w14:paraId="3691421D" w14:textId="77777777" w:rsidR="00B62AF4" w:rsidRPr="009E3A67" w:rsidRDefault="00B62AF4" w:rsidP="00B62AF4">
      <w:pPr>
        <w:rPr>
          <w:rFonts w:ascii="Times New Roman" w:hAnsi="Times New Roman" w:cs="Times New Roman"/>
        </w:rPr>
      </w:pPr>
    </w:p>
    <w:p w14:paraId="7DA22E78" w14:textId="77777777" w:rsidR="00B62AF4" w:rsidRPr="009E3A67" w:rsidRDefault="00B62AF4" w:rsidP="00B62AF4">
      <w:pPr>
        <w:rPr>
          <w:rFonts w:ascii="Times New Roman" w:hAnsi="Times New Roman" w:cs="Times New Roman"/>
        </w:rPr>
      </w:pPr>
    </w:p>
    <w:p w14:paraId="51DDACED" w14:textId="77777777" w:rsidR="00B62AF4" w:rsidRPr="009E3A67" w:rsidRDefault="00B62AF4" w:rsidP="00B62AF4">
      <w:pPr>
        <w:rPr>
          <w:rFonts w:ascii="Times New Roman" w:hAnsi="Times New Roman" w:cs="Times New Roman"/>
        </w:rPr>
      </w:pPr>
    </w:p>
    <w:p w14:paraId="403FD956" w14:textId="77777777" w:rsidR="00B62AF4" w:rsidRPr="009E3A67" w:rsidRDefault="00B62AF4" w:rsidP="00B62AF4">
      <w:pPr>
        <w:tabs>
          <w:tab w:val="left" w:pos="3150"/>
        </w:tabs>
        <w:rPr>
          <w:rFonts w:ascii="Times New Roman" w:hAnsi="Times New Roman" w:cs="Times New Roman"/>
        </w:rPr>
      </w:pPr>
      <w:r w:rsidRPr="009E3A67">
        <w:rPr>
          <w:rFonts w:ascii="Times New Roman" w:hAnsi="Times New Roman" w:cs="Times New Roman"/>
        </w:rPr>
        <w:tab/>
      </w:r>
    </w:p>
    <w:p w14:paraId="6C819EE4" w14:textId="77777777" w:rsidR="00B62AF4" w:rsidRDefault="00B62AF4" w:rsidP="00B62AF4">
      <w:pPr>
        <w:spacing w:after="0" w:line="276" w:lineRule="auto"/>
        <w:jc w:val="center"/>
        <w:rPr>
          <w:rFonts w:ascii="Times New Roman" w:hAnsi="Times New Roman" w:cs="Times New Roman"/>
          <w:b/>
          <w:bCs/>
          <w:sz w:val="20"/>
          <w:szCs w:val="20"/>
        </w:rPr>
      </w:pPr>
    </w:p>
    <w:p w14:paraId="1492FCA6" w14:textId="77777777" w:rsidR="007652D0" w:rsidRPr="009E3A67" w:rsidRDefault="007652D0" w:rsidP="00B62AF4">
      <w:pPr>
        <w:spacing w:after="0" w:line="276" w:lineRule="auto"/>
        <w:jc w:val="center"/>
        <w:rPr>
          <w:rFonts w:ascii="Times New Roman" w:hAnsi="Times New Roman" w:cs="Times New Roman"/>
          <w:b/>
          <w:bCs/>
          <w:sz w:val="20"/>
          <w:szCs w:val="20"/>
        </w:rPr>
      </w:pPr>
    </w:p>
    <w:p w14:paraId="7FCE269B" w14:textId="77777777" w:rsidR="003C5B38" w:rsidRDefault="003C5B38" w:rsidP="00B62AF4">
      <w:pPr>
        <w:spacing w:after="0" w:line="276" w:lineRule="auto"/>
        <w:jc w:val="center"/>
        <w:rPr>
          <w:rFonts w:ascii="Times New Roman" w:hAnsi="Times New Roman" w:cs="Times New Roman"/>
          <w:b/>
          <w:bCs/>
          <w:sz w:val="24"/>
          <w:szCs w:val="24"/>
        </w:rPr>
      </w:pPr>
    </w:p>
    <w:p w14:paraId="43B98B30" w14:textId="2E5B4E0D" w:rsidR="00B62AF4" w:rsidRPr="009E3A67" w:rsidRDefault="00B62AF4" w:rsidP="00B62AF4">
      <w:pPr>
        <w:spacing w:after="0" w:line="276" w:lineRule="auto"/>
        <w:jc w:val="center"/>
        <w:rPr>
          <w:rFonts w:ascii="Times New Roman" w:hAnsi="Times New Roman" w:cs="Times New Roman"/>
          <w:b/>
          <w:bCs/>
          <w:sz w:val="24"/>
          <w:szCs w:val="24"/>
        </w:rPr>
      </w:pPr>
      <w:r w:rsidRPr="009E3A67">
        <w:rPr>
          <w:rFonts w:ascii="Times New Roman" w:hAnsi="Times New Roman" w:cs="Times New Roman"/>
          <w:b/>
          <w:bCs/>
          <w:sz w:val="24"/>
          <w:szCs w:val="24"/>
        </w:rPr>
        <w:t>RESUMO</w:t>
      </w:r>
    </w:p>
    <w:p w14:paraId="401D7BBE" w14:textId="77777777" w:rsidR="00B62AF4" w:rsidRPr="009E3A67" w:rsidRDefault="00B62AF4" w:rsidP="00B62AF4">
      <w:pPr>
        <w:spacing w:after="0" w:line="276" w:lineRule="auto"/>
        <w:jc w:val="center"/>
        <w:rPr>
          <w:rFonts w:ascii="Times New Roman" w:hAnsi="Times New Roman" w:cs="Times New Roman"/>
          <w:b/>
          <w:bCs/>
          <w:sz w:val="24"/>
          <w:szCs w:val="24"/>
        </w:rPr>
      </w:pPr>
    </w:p>
    <w:p w14:paraId="4620F08E" w14:textId="77777777" w:rsidR="00B62AF4" w:rsidRPr="009E3A67" w:rsidRDefault="00B62AF4" w:rsidP="00B62AF4">
      <w:pPr>
        <w:spacing w:after="0" w:line="240"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A partir de duas imagens, uma que marca o estabelecimento do Estado de Israel, em 1948, onde se pode ver David Ben-Gurion rodeado pela liderança do </w:t>
      </w:r>
      <w:r w:rsidRPr="009E3A67">
        <w:rPr>
          <w:rFonts w:ascii="Times New Roman" w:hAnsi="Times New Roman" w:cs="Times New Roman"/>
          <w:i/>
          <w:iCs/>
          <w:sz w:val="24"/>
          <w:szCs w:val="24"/>
        </w:rPr>
        <w:t>Yishuv</w:t>
      </w:r>
      <w:r w:rsidRPr="009E3A67">
        <w:rPr>
          <w:rFonts w:ascii="Times New Roman" w:hAnsi="Times New Roman" w:cs="Times New Roman"/>
          <w:sz w:val="24"/>
          <w:szCs w:val="24"/>
        </w:rPr>
        <w:t xml:space="preserve"> (comunidade de colonos que imigraram para a Palestina antes de 1948), maioritariamente judeus </w:t>
      </w:r>
      <w:r w:rsidRPr="009E3A67">
        <w:rPr>
          <w:rFonts w:ascii="Times New Roman" w:hAnsi="Times New Roman" w:cs="Times New Roman"/>
          <w:i/>
          <w:iCs/>
          <w:sz w:val="24"/>
          <w:szCs w:val="24"/>
        </w:rPr>
        <w:t>ashkenazim</w:t>
      </w:r>
      <w:r w:rsidRPr="009E3A67">
        <w:rPr>
          <w:rFonts w:ascii="Times New Roman" w:hAnsi="Times New Roman" w:cs="Times New Roman"/>
          <w:sz w:val="24"/>
          <w:szCs w:val="24"/>
        </w:rPr>
        <w:t xml:space="preserve">, outra que apresenta o ponto de vista dos colonos europeus sobre o despoletar da primeira revolução mobilizada e liderada por pessoas negras escravizadas e livres, no Haiti (1791-1804), procuro articular a relação entre a modernidade ocidental burguesa e o processo de colonização violenta da Palestina. A posição que 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ocupam neste último processo permite-me ler como a construção de uma hierarquia entre Ser, poder-Ser e não-Ser existe numa relação-tensão entre processos de racialização e colonização que são parte de uma infraestrutura ontoepistemológica e material do projeto da modernidade.</w:t>
      </w:r>
    </w:p>
    <w:p w14:paraId="78B94AD4" w14:textId="77777777" w:rsidR="00B62AF4" w:rsidRPr="009E3A67" w:rsidRDefault="00B62AF4" w:rsidP="00B62AF4">
      <w:pPr>
        <w:spacing w:after="0" w:line="276" w:lineRule="auto"/>
        <w:jc w:val="both"/>
        <w:rPr>
          <w:rFonts w:ascii="Times New Roman" w:hAnsi="Times New Roman" w:cs="Times New Roman"/>
          <w:sz w:val="24"/>
          <w:szCs w:val="24"/>
        </w:rPr>
      </w:pPr>
    </w:p>
    <w:p w14:paraId="77789FA6" w14:textId="77777777" w:rsidR="00B62AF4" w:rsidRPr="009E3A67" w:rsidRDefault="00B62AF4" w:rsidP="00B62AF4">
      <w:pPr>
        <w:spacing w:after="0" w:line="276" w:lineRule="auto"/>
        <w:jc w:val="both"/>
        <w:rPr>
          <w:rFonts w:ascii="Times New Roman" w:hAnsi="Times New Roman" w:cs="Times New Roman"/>
          <w:b/>
          <w:bCs/>
          <w:sz w:val="24"/>
          <w:szCs w:val="24"/>
        </w:rPr>
      </w:pPr>
      <w:r w:rsidRPr="009E3A67">
        <w:rPr>
          <w:rFonts w:ascii="Times New Roman" w:hAnsi="Times New Roman" w:cs="Times New Roman"/>
          <w:b/>
          <w:bCs/>
          <w:sz w:val="24"/>
          <w:szCs w:val="24"/>
        </w:rPr>
        <w:t>PALAVRAS-CHAVE</w:t>
      </w:r>
    </w:p>
    <w:p w14:paraId="69918E3A" w14:textId="50778CCD" w:rsidR="00B62AF4" w:rsidRPr="009E3A67" w:rsidRDefault="00B62AF4" w:rsidP="00B62AF4">
      <w:pPr>
        <w:spacing w:after="0" w:line="276"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Direitos Humanos; </w:t>
      </w:r>
      <w:r w:rsidR="00DD480E" w:rsidRPr="009E3A67">
        <w:rPr>
          <w:rFonts w:ascii="Times New Roman" w:hAnsi="Times New Roman" w:cs="Times New Roman"/>
          <w:sz w:val="24"/>
          <w:szCs w:val="24"/>
        </w:rPr>
        <w:t>J</w:t>
      </w:r>
      <w:r w:rsidRPr="009E3A67">
        <w:rPr>
          <w:rFonts w:ascii="Times New Roman" w:hAnsi="Times New Roman" w:cs="Times New Roman"/>
          <w:sz w:val="24"/>
          <w:szCs w:val="24"/>
        </w:rPr>
        <w:t xml:space="preserve">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w:t>
      </w:r>
      <w:r w:rsidR="00DD480E" w:rsidRPr="009E3A67">
        <w:rPr>
          <w:rFonts w:ascii="Times New Roman" w:hAnsi="Times New Roman" w:cs="Times New Roman"/>
          <w:sz w:val="24"/>
          <w:szCs w:val="24"/>
        </w:rPr>
        <w:t>M</w:t>
      </w:r>
      <w:r w:rsidRPr="009E3A67">
        <w:rPr>
          <w:rFonts w:ascii="Times New Roman" w:hAnsi="Times New Roman" w:cs="Times New Roman"/>
          <w:sz w:val="24"/>
          <w:szCs w:val="24"/>
        </w:rPr>
        <w:t>odernidade ocidental; Palestina; Sionismo.</w:t>
      </w:r>
    </w:p>
    <w:p w14:paraId="100A28B5" w14:textId="77777777" w:rsidR="00B62AF4" w:rsidRPr="009E3A67" w:rsidRDefault="00B62AF4" w:rsidP="00B62AF4">
      <w:pPr>
        <w:spacing w:after="0" w:line="276" w:lineRule="auto"/>
        <w:jc w:val="both"/>
        <w:rPr>
          <w:rFonts w:ascii="Times New Roman" w:hAnsi="Times New Roman" w:cs="Times New Roman"/>
          <w:sz w:val="24"/>
          <w:szCs w:val="24"/>
        </w:rPr>
      </w:pPr>
    </w:p>
    <w:p w14:paraId="70C84EDD" w14:textId="77777777" w:rsidR="00B62AF4" w:rsidRPr="009E3A67" w:rsidRDefault="00B62AF4" w:rsidP="00B62AF4">
      <w:pPr>
        <w:spacing w:after="0" w:line="276" w:lineRule="auto"/>
        <w:jc w:val="both"/>
        <w:rPr>
          <w:rFonts w:ascii="Times New Roman" w:hAnsi="Times New Roman" w:cs="Times New Roman"/>
          <w:sz w:val="24"/>
          <w:szCs w:val="24"/>
        </w:rPr>
      </w:pPr>
    </w:p>
    <w:p w14:paraId="4F866D72" w14:textId="77777777" w:rsidR="00B62AF4" w:rsidRPr="009E3A67" w:rsidRDefault="00B62AF4" w:rsidP="00B62AF4">
      <w:pPr>
        <w:spacing w:after="0" w:line="276" w:lineRule="auto"/>
        <w:jc w:val="center"/>
        <w:rPr>
          <w:rFonts w:ascii="Times New Roman" w:hAnsi="Times New Roman" w:cs="Times New Roman"/>
          <w:b/>
          <w:bCs/>
          <w:sz w:val="24"/>
          <w:szCs w:val="24"/>
          <w:lang w:val="en-US"/>
        </w:rPr>
      </w:pPr>
      <w:r w:rsidRPr="009E3A67">
        <w:rPr>
          <w:rFonts w:ascii="Times New Roman" w:hAnsi="Times New Roman" w:cs="Times New Roman"/>
          <w:b/>
          <w:bCs/>
          <w:sz w:val="24"/>
          <w:szCs w:val="24"/>
          <w:lang w:val="en-US"/>
        </w:rPr>
        <w:t>ABSTRACT</w:t>
      </w:r>
    </w:p>
    <w:p w14:paraId="73217D50" w14:textId="77777777" w:rsidR="00B62AF4" w:rsidRPr="009E3A67" w:rsidRDefault="00B62AF4" w:rsidP="00B62AF4">
      <w:pPr>
        <w:spacing w:after="0" w:line="276" w:lineRule="auto"/>
        <w:jc w:val="center"/>
        <w:rPr>
          <w:rFonts w:ascii="Times New Roman" w:hAnsi="Times New Roman" w:cs="Times New Roman"/>
          <w:b/>
          <w:bCs/>
          <w:sz w:val="24"/>
          <w:szCs w:val="24"/>
          <w:lang w:val="en-US"/>
        </w:rPr>
      </w:pPr>
    </w:p>
    <w:p w14:paraId="66D14A2A" w14:textId="77777777" w:rsidR="00B62AF4" w:rsidRPr="009E3A67" w:rsidRDefault="00B62AF4" w:rsidP="00B62AF4">
      <w:pPr>
        <w:spacing w:after="0" w:line="240" w:lineRule="auto"/>
        <w:jc w:val="both"/>
        <w:rPr>
          <w:rFonts w:ascii="Times New Roman" w:hAnsi="Times New Roman" w:cs="Times New Roman"/>
          <w:sz w:val="24"/>
          <w:szCs w:val="24"/>
          <w:lang w:val="en-US"/>
        </w:rPr>
      </w:pPr>
      <w:r w:rsidRPr="009E3A67">
        <w:rPr>
          <w:rFonts w:ascii="Times New Roman" w:hAnsi="Times New Roman" w:cs="Times New Roman"/>
          <w:sz w:val="24"/>
          <w:szCs w:val="24"/>
          <w:lang w:val="en-US"/>
        </w:rPr>
        <w:t xml:space="preserve">From two images, one that marks the establishment of the State of Israel, in 1948, where we can see David Ben-Gurion surrounded by the leadership of the </w:t>
      </w:r>
      <w:r w:rsidRPr="009E3A67">
        <w:rPr>
          <w:rFonts w:ascii="Times New Roman" w:hAnsi="Times New Roman" w:cs="Times New Roman"/>
          <w:i/>
          <w:iCs/>
          <w:sz w:val="24"/>
          <w:szCs w:val="24"/>
          <w:lang w:val="en-US"/>
        </w:rPr>
        <w:t>Yishuv</w:t>
      </w:r>
      <w:r w:rsidRPr="009E3A67">
        <w:rPr>
          <w:rFonts w:ascii="Times New Roman" w:hAnsi="Times New Roman" w:cs="Times New Roman"/>
          <w:sz w:val="24"/>
          <w:szCs w:val="24"/>
          <w:lang w:val="en-US"/>
        </w:rPr>
        <w:t xml:space="preserve"> (community of settlers who immigrated to Palestine before 1948), mostly Ashkenazim Jews, another that presents the European settler gaze on the triggering of the first revolution carried out and led by enslaved and free black people, in Haiti (1791-1804), I try to articulate the relationship between the bourgeois Western modernity and the process of violent colonization of Palestine. The position that Mizrahim Jews occupy in this last process allows me to read how the construction of a hierarchy between Being, may-Be(ing) and not-Being exists in a relationship-tension between processes of racialization and colonization that are part of an ontoepistemological and material infrastructure of the project of modernity.</w:t>
      </w:r>
    </w:p>
    <w:p w14:paraId="061720E0" w14:textId="77777777" w:rsidR="00B62AF4" w:rsidRPr="009E3A67" w:rsidRDefault="00B62AF4" w:rsidP="00B62AF4">
      <w:pPr>
        <w:spacing w:after="0" w:line="276" w:lineRule="auto"/>
        <w:jc w:val="both"/>
        <w:rPr>
          <w:rFonts w:ascii="Times New Roman" w:hAnsi="Times New Roman" w:cs="Times New Roman"/>
          <w:sz w:val="24"/>
          <w:szCs w:val="24"/>
          <w:lang w:val="en-US"/>
        </w:rPr>
      </w:pPr>
    </w:p>
    <w:p w14:paraId="4054EF44" w14:textId="77777777" w:rsidR="00B62AF4" w:rsidRPr="009E3A67" w:rsidRDefault="00B62AF4" w:rsidP="00B62AF4">
      <w:pPr>
        <w:spacing w:after="0" w:line="276" w:lineRule="auto"/>
        <w:jc w:val="both"/>
        <w:rPr>
          <w:rFonts w:ascii="Times New Roman" w:hAnsi="Times New Roman" w:cs="Times New Roman"/>
          <w:b/>
          <w:bCs/>
          <w:sz w:val="24"/>
          <w:szCs w:val="24"/>
          <w:lang w:val="en-US"/>
        </w:rPr>
      </w:pPr>
      <w:r w:rsidRPr="009E3A67">
        <w:rPr>
          <w:rFonts w:ascii="Times New Roman" w:hAnsi="Times New Roman" w:cs="Times New Roman"/>
          <w:b/>
          <w:bCs/>
          <w:sz w:val="24"/>
          <w:szCs w:val="24"/>
          <w:lang w:val="en-US"/>
        </w:rPr>
        <w:t>KEYWORDS</w:t>
      </w:r>
    </w:p>
    <w:p w14:paraId="156BDEE5" w14:textId="77777777" w:rsidR="00B62AF4" w:rsidRPr="009E3A67" w:rsidRDefault="00B62AF4" w:rsidP="00B62AF4">
      <w:pPr>
        <w:spacing w:after="0" w:line="276" w:lineRule="auto"/>
        <w:jc w:val="both"/>
        <w:rPr>
          <w:rFonts w:ascii="Times New Roman" w:hAnsi="Times New Roman" w:cs="Times New Roman"/>
          <w:sz w:val="24"/>
          <w:szCs w:val="24"/>
          <w:lang w:val="en-US"/>
        </w:rPr>
      </w:pPr>
      <w:r w:rsidRPr="009E3A67">
        <w:rPr>
          <w:rFonts w:ascii="Times New Roman" w:hAnsi="Times New Roman" w:cs="Times New Roman"/>
          <w:sz w:val="24"/>
          <w:szCs w:val="24"/>
          <w:lang w:val="en-US"/>
        </w:rPr>
        <w:t>Human Rights; Mizrahim Jews; Western modernity; Palestine; Zionism.</w:t>
      </w:r>
    </w:p>
    <w:p w14:paraId="6652ACD7" w14:textId="77777777" w:rsidR="00B62AF4" w:rsidRPr="009E3A67" w:rsidRDefault="00B62AF4" w:rsidP="00B62AF4">
      <w:pPr>
        <w:spacing w:after="0" w:line="276" w:lineRule="auto"/>
        <w:jc w:val="both"/>
        <w:rPr>
          <w:rFonts w:ascii="Times New Roman" w:hAnsi="Times New Roman" w:cs="Times New Roman"/>
          <w:sz w:val="24"/>
          <w:szCs w:val="24"/>
          <w:lang w:val="en-US"/>
        </w:rPr>
      </w:pPr>
    </w:p>
    <w:p w14:paraId="0CBD900C" w14:textId="77777777" w:rsidR="00B62AF4" w:rsidRPr="009E3A67" w:rsidRDefault="00B62AF4" w:rsidP="00B62AF4">
      <w:pPr>
        <w:spacing w:after="0" w:line="276" w:lineRule="auto"/>
        <w:jc w:val="both"/>
        <w:rPr>
          <w:rFonts w:ascii="Times New Roman" w:hAnsi="Times New Roman" w:cs="Times New Roman"/>
          <w:sz w:val="24"/>
          <w:szCs w:val="24"/>
          <w:lang w:val="en-US"/>
        </w:rPr>
      </w:pPr>
    </w:p>
    <w:p w14:paraId="5F4BCAF7" w14:textId="77777777" w:rsidR="00B62AF4" w:rsidRPr="009E3A67" w:rsidRDefault="00B62AF4" w:rsidP="00B62AF4">
      <w:pPr>
        <w:spacing w:after="0" w:line="276" w:lineRule="auto"/>
        <w:jc w:val="both"/>
        <w:rPr>
          <w:rFonts w:ascii="Times New Roman" w:hAnsi="Times New Roman" w:cs="Times New Roman"/>
          <w:sz w:val="24"/>
          <w:szCs w:val="24"/>
          <w:lang w:val="en-US"/>
        </w:rPr>
      </w:pPr>
    </w:p>
    <w:p w14:paraId="79B63ED1" w14:textId="77777777" w:rsidR="00B62AF4" w:rsidRPr="009E3A67" w:rsidRDefault="00B62AF4" w:rsidP="00B62AF4">
      <w:pPr>
        <w:spacing w:after="0" w:line="276" w:lineRule="auto"/>
        <w:jc w:val="both"/>
        <w:rPr>
          <w:rFonts w:ascii="Times New Roman" w:hAnsi="Times New Roman" w:cs="Times New Roman"/>
          <w:sz w:val="24"/>
          <w:szCs w:val="24"/>
          <w:lang w:val="en-US"/>
        </w:rPr>
      </w:pPr>
    </w:p>
    <w:p w14:paraId="5F94D701" w14:textId="77777777" w:rsidR="00B62AF4" w:rsidRPr="009E3A67" w:rsidRDefault="00B62AF4" w:rsidP="00B62AF4">
      <w:pPr>
        <w:spacing w:after="0" w:line="276" w:lineRule="auto"/>
        <w:jc w:val="both"/>
        <w:rPr>
          <w:rFonts w:ascii="Times New Roman" w:hAnsi="Times New Roman" w:cs="Times New Roman"/>
          <w:sz w:val="24"/>
          <w:szCs w:val="24"/>
          <w:lang w:val="en-US"/>
        </w:rPr>
      </w:pPr>
    </w:p>
    <w:p w14:paraId="6C091D99" w14:textId="77777777" w:rsidR="00B62AF4" w:rsidRPr="009E3A67" w:rsidRDefault="00B62AF4" w:rsidP="00B62AF4">
      <w:pPr>
        <w:spacing w:after="0" w:line="276" w:lineRule="auto"/>
        <w:jc w:val="both"/>
        <w:rPr>
          <w:rFonts w:ascii="Times New Roman" w:hAnsi="Times New Roman" w:cs="Times New Roman"/>
          <w:sz w:val="24"/>
          <w:szCs w:val="24"/>
          <w:lang w:val="en-US"/>
        </w:rPr>
      </w:pPr>
    </w:p>
    <w:p w14:paraId="34C1676D" w14:textId="77777777" w:rsidR="00B62AF4" w:rsidRPr="009E3A67" w:rsidRDefault="00B62AF4" w:rsidP="00B62AF4">
      <w:pPr>
        <w:spacing w:after="0" w:line="276" w:lineRule="auto"/>
        <w:jc w:val="both"/>
        <w:rPr>
          <w:rFonts w:ascii="Times New Roman" w:hAnsi="Times New Roman" w:cs="Times New Roman"/>
          <w:sz w:val="24"/>
          <w:szCs w:val="24"/>
          <w:lang w:val="en-US"/>
        </w:rPr>
      </w:pPr>
    </w:p>
    <w:p w14:paraId="7AA9895A" w14:textId="77777777" w:rsidR="00B62AF4" w:rsidRPr="009E3A67" w:rsidRDefault="00B62AF4" w:rsidP="00B62AF4">
      <w:pPr>
        <w:spacing w:after="0" w:line="276" w:lineRule="auto"/>
        <w:jc w:val="both"/>
        <w:rPr>
          <w:rFonts w:ascii="Times New Roman" w:hAnsi="Times New Roman" w:cs="Times New Roman"/>
          <w:sz w:val="24"/>
          <w:szCs w:val="24"/>
          <w:lang w:val="en-US"/>
        </w:rPr>
      </w:pPr>
    </w:p>
    <w:p w14:paraId="550729D8" w14:textId="77777777" w:rsidR="00B62AF4" w:rsidRPr="009E3A67" w:rsidRDefault="00B62AF4" w:rsidP="00B62AF4">
      <w:pPr>
        <w:spacing w:after="0" w:line="276" w:lineRule="auto"/>
        <w:jc w:val="both"/>
        <w:rPr>
          <w:rFonts w:ascii="Times New Roman" w:hAnsi="Times New Roman" w:cs="Times New Roman"/>
          <w:sz w:val="24"/>
          <w:szCs w:val="24"/>
          <w:lang w:val="en-US"/>
        </w:rPr>
      </w:pPr>
    </w:p>
    <w:p w14:paraId="0EDD2FE5" w14:textId="77777777" w:rsidR="00B62AF4" w:rsidRPr="009E3A67" w:rsidRDefault="00B62AF4" w:rsidP="007652D0">
      <w:pPr>
        <w:spacing w:after="0" w:line="240" w:lineRule="auto"/>
        <w:jc w:val="center"/>
        <w:rPr>
          <w:rFonts w:ascii="Times New Roman" w:hAnsi="Times New Roman" w:cs="Times New Roman"/>
          <w:b/>
          <w:bCs/>
          <w:sz w:val="24"/>
          <w:szCs w:val="24"/>
        </w:rPr>
      </w:pPr>
      <w:r w:rsidRPr="009E3A67">
        <w:rPr>
          <w:rFonts w:ascii="Times New Roman" w:hAnsi="Times New Roman" w:cs="Times New Roman"/>
          <w:b/>
          <w:bCs/>
          <w:sz w:val="24"/>
          <w:szCs w:val="24"/>
        </w:rPr>
        <w:t>SIONISMO COMO COLONIALISMO DE POVOAMENTO: MODERNIDADE OCIDENTAL E DIREITOS HUMANOS</w:t>
      </w:r>
    </w:p>
    <w:p w14:paraId="5683114C" w14:textId="77777777" w:rsidR="00CF6E98" w:rsidRPr="009E3A67" w:rsidRDefault="00CF6E98" w:rsidP="00B62AF4">
      <w:pPr>
        <w:spacing w:after="0" w:line="360" w:lineRule="auto"/>
        <w:jc w:val="both"/>
        <w:rPr>
          <w:rFonts w:ascii="Times New Roman" w:hAnsi="Times New Roman" w:cs="Times New Roman"/>
          <w:b/>
          <w:bCs/>
          <w:sz w:val="24"/>
          <w:szCs w:val="24"/>
        </w:rPr>
      </w:pPr>
    </w:p>
    <w:p w14:paraId="7D3B77C8" w14:textId="04C0E2F9" w:rsidR="00B62AF4" w:rsidRPr="009E3A67" w:rsidRDefault="00100A33" w:rsidP="00100A33">
      <w:pPr>
        <w:pStyle w:val="PargrafodaLista"/>
        <w:spacing w:after="0" w:line="360" w:lineRule="auto"/>
        <w:ind w:left="0"/>
        <w:jc w:val="both"/>
        <w:rPr>
          <w:rFonts w:ascii="Times New Roman" w:hAnsi="Times New Roman" w:cs="Times New Roman"/>
          <w:b/>
          <w:bCs/>
          <w:sz w:val="24"/>
          <w:szCs w:val="24"/>
        </w:rPr>
      </w:pPr>
      <w:r w:rsidRPr="009E3A67">
        <w:rPr>
          <w:rFonts w:ascii="Times New Roman" w:hAnsi="Times New Roman" w:cs="Times New Roman"/>
          <w:b/>
          <w:bCs/>
          <w:sz w:val="24"/>
          <w:szCs w:val="24"/>
        </w:rPr>
        <w:t xml:space="preserve">1. </w:t>
      </w:r>
      <w:r w:rsidR="00B62AF4" w:rsidRPr="009E3A67">
        <w:rPr>
          <w:rFonts w:ascii="Times New Roman" w:hAnsi="Times New Roman" w:cs="Times New Roman"/>
          <w:b/>
          <w:bCs/>
          <w:sz w:val="24"/>
          <w:szCs w:val="24"/>
        </w:rPr>
        <w:t>INTRODUÇÃO</w:t>
      </w:r>
    </w:p>
    <w:p w14:paraId="2DDB212F" w14:textId="77777777"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Este texto nasce de um questionamento gerado pela leitura de dois documentos fundamentais para a compreensão da modernidade ocidental burguesa</w:t>
      </w:r>
      <w:r w:rsidRPr="009E3A67">
        <w:rPr>
          <w:rStyle w:val="Refdenotaderodap"/>
          <w:rFonts w:ascii="Times New Roman" w:hAnsi="Times New Roman" w:cs="Times New Roman"/>
          <w:sz w:val="20"/>
          <w:szCs w:val="20"/>
        </w:rPr>
        <w:footnoteReference w:id="24"/>
      </w:r>
      <w:r w:rsidRPr="009E3A67">
        <w:rPr>
          <w:rFonts w:ascii="Times New Roman" w:hAnsi="Times New Roman" w:cs="Times New Roman"/>
          <w:sz w:val="24"/>
          <w:szCs w:val="24"/>
        </w:rPr>
        <w:t xml:space="preserve"> –a </w:t>
      </w:r>
      <w:r w:rsidRPr="009E3A67">
        <w:rPr>
          <w:rFonts w:ascii="Times New Roman" w:hAnsi="Times New Roman" w:cs="Times New Roman"/>
          <w:i/>
          <w:iCs/>
          <w:sz w:val="24"/>
          <w:szCs w:val="24"/>
        </w:rPr>
        <w:t xml:space="preserve">Declaração dos Direitos do Homem e do Cidadão </w:t>
      </w:r>
      <w:r w:rsidRPr="009E3A67">
        <w:rPr>
          <w:rFonts w:ascii="Times New Roman" w:hAnsi="Times New Roman" w:cs="Times New Roman"/>
          <w:sz w:val="24"/>
          <w:szCs w:val="24"/>
        </w:rPr>
        <w:t xml:space="preserve">(ANF, 26 ago. 1789) e a </w:t>
      </w:r>
      <w:r w:rsidRPr="009E3A67">
        <w:rPr>
          <w:rFonts w:ascii="Times New Roman" w:hAnsi="Times New Roman" w:cs="Times New Roman"/>
          <w:i/>
          <w:iCs/>
          <w:sz w:val="24"/>
          <w:szCs w:val="24"/>
        </w:rPr>
        <w:t>Declaração de Independência dos EUA</w:t>
      </w:r>
      <w:r w:rsidRPr="009E3A67">
        <w:rPr>
          <w:rFonts w:ascii="Times New Roman" w:hAnsi="Times New Roman" w:cs="Times New Roman"/>
          <w:sz w:val="24"/>
          <w:szCs w:val="24"/>
        </w:rPr>
        <w:t xml:space="preserve"> (CF-EUA, 4 jul. 1776). A isso, juntou-se a intuição de que o não dito, e/ou silenciado nestes contratos, é estrutural para imaginar a Europa e o Ocidente como geografias, mas, principalmente, como significantes de uma visão de mundo e de uma forma de o conhecer que se apresenta como universal, num sentido aparentemente partilhado, equivalente e absoluto que, contudo, oculta o seu caráter profundamente hierárquico e o seu particularismo e provincialismo.</w:t>
      </w:r>
    </w:p>
    <w:p w14:paraId="4A94CE35" w14:textId="77777777"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 xml:space="preserve">Contudo, esta análise começa num segundo momento, aquele que condensa a ratificação da </w:t>
      </w:r>
      <w:r w:rsidRPr="009E3A67">
        <w:rPr>
          <w:rFonts w:ascii="Times New Roman" w:hAnsi="Times New Roman" w:cs="Times New Roman"/>
          <w:i/>
          <w:iCs/>
          <w:sz w:val="24"/>
          <w:szCs w:val="24"/>
        </w:rPr>
        <w:t xml:space="preserve">Declaração Universal dos Direitos Humanos </w:t>
      </w:r>
      <w:r w:rsidRPr="009E3A67">
        <w:rPr>
          <w:rFonts w:ascii="Times New Roman" w:hAnsi="Times New Roman" w:cs="Times New Roman"/>
          <w:sz w:val="24"/>
          <w:szCs w:val="24"/>
        </w:rPr>
        <w:t>(AG-ONU, 10 dez. 1948)</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e o estabelecimento do Estado de Israel, em 1948. A permanência de alguns dos mesmos silêncios na era que dá início a uma celebração do moderno e do colonial como “pós” –tanto o sufixo que indica posterior, como a matéria sólida que se transforma em algo granular– eram mais dificilmente identificáveis no novo contrato universal humanista, apesar de continuarem a existir num terreno influenciado pelas anteriores conceções de humanidade, mesmo que ocultadas por novos vocabulários, como uma infraestrutura</w:t>
      </w:r>
      <w:r w:rsidRPr="009E3A67">
        <w:rPr>
          <w:rStyle w:val="Refdenotaderodap"/>
          <w:rFonts w:ascii="Times New Roman" w:hAnsi="Times New Roman" w:cs="Times New Roman"/>
          <w:sz w:val="20"/>
          <w:szCs w:val="20"/>
        </w:rPr>
        <w:footnoteReference w:id="25"/>
      </w:r>
      <w:r w:rsidRPr="009E3A67">
        <w:rPr>
          <w:rFonts w:ascii="Times New Roman" w:hAnsi="Times New Roman" w:cs="Times New Roman"/>
          <w:sz w:val="24"/>
          <w:szCs w:val="24"/>
        </w:rPr>
        <w:t xml:space="preserve"> que se atualiza para perpetuar sistemas de raci(on)alidade governamental.</w:t>
      </w:r>
    </w:p>
    <w:p w14:paraId="49B7A1B1"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O ponto de partida para uma análise que vê estes como processos que se retroalimentam são, então, aquelas subjetividades cujos corpos e/ou experiências fica(ra)m de fora da narrativa hegemónica sionista como condição de possibilidade para a sua materialização e sustentabilidade, mais tarde, como Estado de Israel. Neste contexto, pergunto-me como o processo de acolhimento e integração dos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w:t>
      </w:r>
      <w:r w:rsidRPr="009E3A67">
        <w:rPr>
          <w:rStyle w:val="Refdenotaderodap"/>
          <w:rFonts w:ascii="Times New Roman" w:hAnsi="Times New Roman" w:cs="Times New Roman"/>
          <w:sz w:val="20"/>
          <w:szCs w:val="20"/>
        </w:rPr>
        <w:footnoteReference w:id="26"/>
      </w:r>
      <w:r w:rsidRPr="009E3A67">
        <w:rPr>
          <w:rFonts w:ascii="Times New Roman" w:hAnsi="Times New Roman" w:cs="Times New Roman"/>
          <w:sz w:val="24"/>
          <w:szCs w:val="24"/>
        </w:rPr>
        <w:t xml:space="preserve"> a despossessão e o desenraizamento dos palestinianos e a abertura de novos espaços para pensar o significado de humanidade se articulam entre si e em continuidade com um projeto de modernidade mais longo. Que silêncios ajudaram a sedimentar uma visão de universalidade como superioridade, mas também como humanismo ocidentais? Na suposta passagem de um mundo moderno para um “pós-moderno” e/ou “pós-colonial”, que transformações se processam dentro dessa cosmovisão? Onde se situa o Sionismo dentro desta transição? De que forma é moldado o contexto no qual são desenhadas as políticas de asilo e o estatuto do refugiado? O que nos diz o processo de acolhimento e integração dos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pelo Estado de Israel sobre esses processos e contextos? Quais as continuidades entre a narrativa genealógica sionista e aquela que ajudou a sedimentar uma ideia sobre o Ocidente? Quais as presenças e ausências que ajudam a estabilizar essas idealizações como “verdades” absolutas e inquestionáveis?</w:t>
      </w:r>
    </w:p>
    <w:p w14:paraId="24C2E65C"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Na tentativa de dar resposta a, pelo menos, algumas destas perguntas, adotei uma abordagem metodológica transdisciplinar em dois sentidos. Em primeiro lugar, ao elaborar uma revisão bibliográfica e uma síntese teórica e interpretativa que procura pensar a continuidade histórica entre o projeto nacional-colonial sionista e a modernidade ocidental burguesa, processos marcados pela acumulação como ocupação, despossessão, exploração e genocídio. Para o fazer apoiei-me numa leitura de diferentes tradições do pensamento, como o trabalho historiográfico palestiniano e (o da chamada “nova escola”, ou escola “pós-sionista”) israelita e em autores das escolas teóricas críticas, marxistas e pós-coloniais que destacam os silêncios e hierarquias fundadoras e estruturantes destes processos. Em segundo lugar, ao apoiar essa revisão e síntese teóricas em documentos histórico-jurídicos, que vão desde as já referidas “declarações” nascidas de ruturas institucionais e políticas, até resoluções internacionais, decretos-lei nacionais e leis base de cariz quase-constitucional (no caso israelita). Destaco ainda o cruzamento destes documentos com a consulta de marcadores demográficos importantes (fornecidos pelo Gabinete Central de Estatísticas de Israel) para o desenvolvimento do trabalho e o aprofundamento das leituras teóricas e jurídicas, tanto a partir da imersão em relatos subjetivos disponibilizados no formato autobiográfico, como resultado de leituras interpretativas de imagens –tanto documentação fotográfica, como representações pictóricas marcadas pela posicionalidade de quem vê.</w:t>
      </w:r>
    </w:p>
    <w:p w14:paraId="640C0FD7" w14:textId="77777777" w:rsidR="00FF4AC8"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Por fim, como hipóteses de trabalho, sugiro que uma continuidade entre o já referido projeto de modernidade –que moldou a posição ocupada pelos judeus no espaço-tempo europeu– e o estabelecimento do Estado de Israel revela-se na partilha de narrativas genealógicas que se complementam. Dentro desta realidade, 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ocupam uma posição de charneira e o seu processo de acolhimento e integração é pensado como caminho mais viável para a simultânea consolidação de uma narrativa de nação, legitimação internacional (a nível político e jurídico) de um projeto colonial violento de despossessão e desenraizamento e sobrevivência material do recém-criado Estado.</w:t>
      </w:r>
    </w:p>
    <w:p w14:paraId="2B946EEB" w14:textId="77777777" w:rsidR="00BA223F" w:rsidRPr="009E3A67" w:rsidRDefault="00BA223F" w:rsidP="00FF4AC8">
      <w:pPr>
        <w:spacing w:after="0" w:line="360" w:lineRule="auto"/>
        <w:jc w:val="both"/>
        <w:rPr>
          <w:rFonts w:ascii="Times New Roman" w:hAnsi="Times New Roman" w:cs="Times New Roman"/>
          <w:sz w:val="24"/>
          <w:szCs w:val="24"/>
        </w:rPr>
      </w:pPr>
    </w:p>
    <w:p w14:paraId="5516363E" w14:textId="31D630D6" w:rsidR="00FF4AC8" w:rsidRPr="009E3A67" w:rsidRDefault="00F04661" w:rsidP="00FF4AC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FF4AC8" w:rsidRPr="009E3A67">
        <w:rPr>
          <w:rFonts w:ascii="Times New Roman" w:hAnsi="Times New Roman" w:cs="Times New Roman"/>
          <w:b/>
          <w:bCs/>
          <w:sz w:val="24"/>
          <w:szCs w:val="24"/>
        </w:rPr>
        <w:t xml:space="preserve"> ENTRE OS SALÕES E AS RUAS: DE TELAVIVE A CAP HAITIEN</w:t>
      </w:r>
    </w:p>
    <w:p w14:paraId="502BCF79" w14:textId="77777777" w:rsidR="00FF4AC8" w:rsidRPr="009E3A67" w:rsidRDefault="00FF4AC8" w:rsidP="00FF4AC8">
      <w:pPr>
        <w:keepNext/>
        <w:spacing w:after="0" w:line="360" w:lineRule="auto"/>
        <w:jc w:val="center"/>
        <w:rPr>
          <w:rFonts w:ascii="Times New Roman" w:hAnsi="Times New Roman" w:cs="Times New Roman"/>
        </w:rPr>
      </w:pPr>
      <w:r w:rsidRPr="009E3A67">
        <w:rPr>
          <w:rFonts w:ascii="Times New Roman" w:hAnsi="Times New Roman" w:cs="Times New Roman"/>
          <w:noProof/>
          <w:sz w:val="24"/>
          <w:szCs w:val="24"/>
        </w:rPr>
        <w:drawing>
          <wp:inline distT="0" distB="0" distL="0" distR="0" wp14:anchorId="1E55BF8D" wp14:editId="5AA24C74">
            <wp:extent cx="4527145" cy="3400425"/>
            <wp:effectExtent l="0" t="0" r="6985" b="0"/>
            <wp:docPr id="2" name="Imagem 2" descr="Uma imagem com vestuário, homem, interior, c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vestuário, homem, interior, cadeira&#10;&#10;Descrição gerada automaticament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3894" cy="3435539"/>
                    </a:xfrm>
                    <a:prstGeom prst="rect">
                      <a:avLst/>
                    </a:prstGeom>
                    <a:noFill/>
                    <a:ln>
                      <a:noFill/>
                    </a:ln>
                  </pic:spPr>
                </pic:pic>
              </a:graphicData>
            </a:graphic>
          </wp:inline>
        </w:drawing>
      </w:r>
    </w:p>
    <w:p w14:paraId="3BC344D3" w14:textId="3865E1D0" w:rsidR="00FF4AC8" w:rsidRPr="009E3A67" w:rsidRDefault="00FF4AC8" w:rsidP="00B02468">
      <w:pPr>
        <w:pStyle w:val="Legenda"/>
        <w:jc w:val="both"/>
        <w:rPr>
          <w:rFonts w:ascii="Times New Roman" w:hAnsi="Times New Roman" w:cs="Times New Roman"/>
          <w:i w:val="0"/>
          <w:iCs w:val="0"/>
          <w:color w:val="auto"/>
          <w:sz w:val="20"/>
          <w:szCs w:val="20"/>
          <w:u w:val="single"/>
        </w:rPr>
      </w:pPr>
      <w:r w:rsidRPr="009E3A67">
        <w:rPr>
          <w:rFonts w:ascii="Times New Roman" w:hAnsi="Times New Roman" w:cs="Times New Roman"/>
          <w:b/>
          <w:bCs/>
          <w:i w:val="0"/>
          <w:iCs w:val="0"/>
          <w:color w:val="auto"/>
          <w:sz w:val="20"/>
          <w:szCs w:val="20"/>
        </w:rPr>
        <w:t xml:space="preserve">Imagem </w:t>
      </w:r>
      <w:r w:rsidRPr="009E3A67">
        <w:rPr>
          <w:rFonts w:ascii="Times New Roman" w:hAnsi="Times New Roman" w:cs="Times New Roman"/>
          <w:b/>
          <w:bCs/>
          <w:i w:val="0"/>
          <w:iCs w:val="0"/>
          <w:color w:val="auto"/>
          <w:sz w:val="20"/>
          <w:szCs w:val="20"/>
        </w:rPr>
        <w:fldChar w:fldCharType="begin"/>
      </w:r>
      <w:r w:rsidRPr="009E3A67">
        <w:rPr>
          <w:rFonts w:ascii="Times New Roman" w:hAnsi="Times New Roman" w:cs="Times New Roman"/>
          <w:b/>
          <w:bCs/>
          <w:i w:val="0"/>
          <w:iCs w:val="0"/>
          <w:color w:val="auto"/>
          <w:sz w:val="20"/>
          <w:szCs w:val="20"/>
        </w:rPr>
        <w:instrText xml:space="preserve"> SEQ Figura \* ARABIC </w:instrText>
      </w:r>
      <w:r w:rsidRPr="009E3A67">
        <w:rPr>
          <w:rFonts w:ascii="Times New Roman" w:hAnsi="Times New Roman" w:cs="Times New Roman"/>
          <w:b/>
          <w:bCs/>
          <w:i w:val="0"/>
          <w:iCs w:val="0"/>
          <w:color w:val="auto"/>
          <w:sz w:val="20"/>
          <w:szCs w:val="20"/>
        </w:rPr>
        <w:fldChar w:fldCharType="separate"/>
      </w:r>
      <w:r w:rsidR="0038379B">
        <w:rPr>
          <w:rFonts w:ascii="Times New Roman" w:hAnsi="Times New Roman" w:cs="Times New Roman"/>
          <w:b/>
          <w:bCs/>
          <w:i w:val="0"/>
          <w:iCs w:val="0"/>
          <w:noProof/>
          <w:color w:val="auto"/>
          <w:sz w:val="20"/>
          <w:szCs w:val="20"/>
        </w:rPr>
        <w:t>1</w:t>
      </w:r>
      <w:r w:rsidRPr="009E3A67">
        <w:rPr>
          <w:rFonts w:ascii="Times New Roman" w:hAnsi="Times New Roman" w:cs="Times New Roman"/>
          <w:b/>
          <w:bCs/>
          <w:i w:val="0"/>
          <w:iCs w:val="0"/>
          <w:color w:val="auto"/>
          <w:sz w:val="20"/>
          <w:szCs w:val="20"/>
        </w:rPr>
        <w:fldChar w:fldCharType="end"/>
      </w:r>
      <w:r w:rsidRPr="009E3A67">
        <w:rPr>
          <w:rFonts w:ascii="Times New Roman" w:hAnsi="Times New Roman" w:cs="Times New Roman"/>
          <w:b/>
          <w:bCs/>
          <w:i w:val="0"/>
          <w:iCs w:val="0"/>
          <w:color w:val="auto"/>
          <w:sz w:val="20"/>
          <w:szCs w:val="20"/>
        </w:rPr>
        <w:t xml:space="preserve"> -</w:t>
      </w:r>
      <w:r w:rsidRPr="009E3A67">
        <w:rPr>
          <w:rFonts w:ascii="Times New Roman" w:hAnsi="Times New Roman" w:cs="Times New Roman"/>
          <w:i w:val="0"/>
          <w:iCs w:val="0"/>
          <w:color w:val="auto"/>
          <w:sz w:val="20"/>
          <w:szCs w:val="20"/>
        </w:rPr>
        <w:t xml:space="preserve"> David Ben-Gurion a ler a Declaração do Estabelecimento do Estado de Israel. Fonte: Gabinete de Imprensa do Governo, </w:t>
      </w:r>
      <w:hyperlink r:id="rId39" w:history="1">
        <w:r w:rsidRPr="009E3A67">
          <w:rPr>
            <w:rStyle w:val="Hyperlink"/>
            <w:rFonts w:ascii="Times New Roman" w:hAnsi="Times New Roman" w:cs="Times New Roman"/>
            <w:i w:val="0"/>
            <w:iCs w:val="0"/>
            <w:color w:val="auto"/>
            <w:sz w:val="20"/>
            <w:szCs w:val="20"/>
          </w:rPr>
          <w:t>https://www.flickr.com/photos/government_press_office/7078991869</w:t>
        </w:r>
      </w:hyperlink>
      <w:r w:rsidRPr="009E3A67">
        <w:rPr>
          <w:rFonts w:ascii="Times New Roman" w:hAnsi="Times New Roman" w:cs="Times New Roman"/>
          <w:i w:val="0"/>
          <w:iCs w:val="0"/>
          <w:color w:val="auto"/>
          <w:sz w:val="20"/>
          <w:szCs w:val="20"/>
        </w:rPr>
        <w:t xml:space="preserve"> (Creative Commons).</w:t>
      </w:r>
    </w:p>
    <w:p w14:paraId="4D3433C2"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b/>
          <w:bCs/>
          <w:sz w:val="24"/>
          <w:szCs w:val="24"/>
        </w:rPr>
        <w:tab/>
      </w:r>
      <w:r w:rsidRPr="009E3A67">
        <w:rPr>
          <w:rFonts w:ascii="Times New Roman" w:hAnsi="Times New Roman" w:cs="Times New Roman"/>
          <w:sz w:val="24"/>
          <w:szCs w:val="24"/>
        </w:rPr>
        <w:t xml:space="preserve">A 14 de maio de 1948, num salão do Museu de Telavive (hoje, Museu da Independência), David Ben-Gurion, rodeado quase exclusivamente por homens brancos, judeus </w:t>
      </w:r>
      <w:r w:rsidRPr="009E3A67">
        <w:rPr>
          <w:rFonts w:ascii="Times New Roman" w:hAnsi="Times New Roman" w:cs="Times New Roman"/>
          <w:i/>
          <w:iCs/>
          <w:sz w:val="24"/>
          <w:szCs w:val="24"/>
        </w:rPr>
        <w:t>ashkenazim</w:t>
      </w:r>
      <w:r w:rsidRPr="009E3A67">
        <w:rPr>
          <w:rFonts w:ascii="Times New Roman" w:hAnsi="Times New Roman" w:cs="Times New Roman"/>
          <w:sz w:val="24"/>
          <w:szCs w:val="24"/>
        </w:rPr>
        <w:t xml:space="preserve"> nascidos (ou com raízes) na Europa centro-oriental, declarava o estabelecimento do Estado de Israel. Aquele que viria a ser o Primeiro-ministro de Israel (entre 1948 e 1954 e, depois, entre 1955 e 1963) expunha, junto a outros “pais fundadores”, na </w:t>
      </w:r>
      <w:r w:rsidRPr="009E3A67">
        <w:rPr>
          <w:rFonts w:ascii="Times New Roman" w:hAnsi="Times New Roman" w:cs="Times New Roman"/>
          <w:i/>
          <w:iCs/>
          <w:sz w:val="24"/>
          <w:szCs w:val="24"/>
        </w:rPr>
        <w:t xml:space="preserve">Declaração do Estabelecimento do Estado de Israel </w:t>
      </w:r>
      <w:r w:rsidRPr="009E3A67">
        <w:rPr>
          <w:rFonts w:ascii="Times New Roman" w:hAnsi="Times New Roman" w:cs="Times New Roman"/>
          <w:sz w:val="24"/>
          <w:szCs w:val="24"/>
        </w:rPr>
        <w:t>(KNESSET, 14 mai. 1948), o caráter étnico do novo Estado-nação e lançava as bases de um projeto centrado em dois pressupostos:</w:t>
      </w:r>
      <w:r w:rsidRPr="009E3A67">
        <w:rPr>
          <w:rStyle w:val="Refdenotaderodap"/>
          <w:rFonts w:ascii="Times New Roman" w:hAnsi="Times New Roman" w:cs="Times New Roman"/>
          <w:sz w:val="20"/>
          <w:szCs w:val="20"/>
        </w:rPr>
        <w:footnoteReference w:id="27"/>
      </w:r>
      <w:r w:rsidRPr="009E3A67">
        <w:rPr>
          <w:rFonts w:ascii="Times New Roman" w:hAnsi="Times New Roman" w:cs="Times New Roman"/>
          <w:sz w:val="24"/>
          <w:szCs w:val="24"/>
        </w:rPr>
        <w:t xml:space="preserve"> 1) a reivindicação dos judeus como povo indígena da Palestina, a partir da laicização e nacionalização (como desencantamento, temporalização e espacialização) da religião judaica; e 2) o caráter civilizacional e redentor do movimento sionista para com o território e o corpo físico e social judaico.</w:t>
      </w:r>
    </w:p>
    <w:p w14:paraId="66B282E6"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Quem está ausente deste salão são os mais de 750 000 palestinianos expulsos do seu território (MASALHA, 1992), que ficaria reduzido a apenas 22% do que havia sido antes de 1947, ano em que a Resolução 181 (AG-ONU, 29 nov. 1947) –que determinava a partição da Palestina entre judeus e, como referido no documento, árabes– seria aprovada pela Assembleia Geral da Organização das Nações Unidas (ONU) sem a consulta desses mesmos palestinianos.</w:t>
      </w:r>
      <w:r w:rsidRPr="009E3A67">
        <w:rPr>
          <w:rStyle w:val="Refdenotaderodap"/>
          <w:rFonts w:ascii="Times New Roman" w:hAnsi="Times New Roman" w:cs="Times New Roman"/>
          <w:sz w:val="20"/>
          <w:szCs w:val="20"/>
        </w:rPr>
        <w:footnoteReference w:id="28"/>
      </w:r>
      <w:r w:rsidRPr="009E3A67">
        <w:rPr>
          <w:rFonts w:ascii="Times New Roman" w:hAnsi="Times New Roman" w:cs="Times New Roman"/>
          <w:sz w:val="24"/>
          <w:szCs w:val="24"/>
        </w:rPr>
        <w:t xml:space="preserve"> Para além da “limpeza étnica” (PAPPÉ, 2007) levada a cabo por milícias sionistas, no período entre 1947 e 1949 foram também destruídas, pelo menos, 480 povoações locais, assim como livros, documentos históricos, objetos pessoais, fotografias, etc. (KHALIDI, 1992), naquilo que pode ser descrito como um “memoricídio” (PAPPÉ, 2007) ou como uma tentativa sistemática e consertada de massacre cultural. Para a população palestiniana, 1948 ficaria marcado como o ano da </w:t>
      </w:r>
      <w:r w:rsidRPr="009E3A67">
        <w:rPr>
          <w:rFonts w:ascii="Times New Roman" w:hAnsi="Times New Roman" w:cs="Times New Roman"/>
          <w:i/>
          <w:iCs/>
          <w:sz w:val="24"/>
          <w:szCs w:val="24"/>
        </w:rPr>
        <w:t xml:space="preserve">Nakba </w:t>
      </w:r>
      <w:r w:rsidRPr="009E3A67">
        <w:rPr>
          <w:rFonts w:ascii="Times New Roman" w:hAnsi="Times New Roman" w:cs="Times New Roman"/>
          <w:sz w:val="24"/>
          <w:szCs w:val="24"/>
        </w:rPr>
        <w:t>(ZUREIQ, 1956 [1948]) (em português, “Catástrofe”) ou, como afirma Nur Masalha (2008), do seu início.</w:t>
      </w:r>
    </w:p>
    <w:p w14:paraId="6954A132" w14:textId="62013698"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O início de um exílio palestiniano que se arrasta até hoje foi, para o movimento sionista, o culminar de um projeto desenhado desde finais do século XIX, a partir de Basileia, e que se via como parte da família de nações alinhadas com aquele que era descrito como único rumo possível para o progresso histórico e civilizacional da humanidade. Foi essa vontade que levou Theodor Herzl –cuja fotografia aparece na imagem a supervisionar o ato fundador de Israel– a declarar que os judeus deveriam formar, na Palestina, “um baluarte da Europa contra a Ásia, um posto avançado da civilização contra a barbárie” (HERZL, 2011 [1896]:46)</w:t>
      </w:r>
      <w:r w:rsidR="00553CA3">
        <w:rPr>
          <w:rFonts w:ascii="Times New Roman" w:hAnsi="Times New Roman" w:cs="Times New Roman"/>
          <w:sz w:val="24"/>
          <w:szCs w:val="24"/>
        </w:rPr>
        <w:t>.</w:t>
      </w:r>
      <w:r w:rsidRPr="009E3A67">
        <w:rPr>
          <w:rFonts w:ascii="Times New Roman" w:hAnsi="Times New Roman" w:cs="Times New Roman"/>
          <w:sz w:val="24"/>
          <w:szCs w:val="24"/>
        </w:rPr>
        <w:t xml:space="preserve"> Segundo esta visão, amplamente partilhada por intelectuais e líderes políticos sionistas, era necessário incorporar a representação dos judeus elaborada pelo antissemitismo moderno para a poder contrariar. A sua condição “levantina”, “errante”, “frágil” e “improdutiva” só poderia ser ultrapassada quando estes abandonassem a Europa rumo ao Médio Oriente onde, como “bastiões do progresso” num “deserto de barbárie”, poderiam ser aceites como semelhantes, ou seja, humanizados como corpos respeitáveis brancos, masculinos e produtivos, possuidores de uma ética puritana disciplinada e frugal.</w:t>
      </w:r>
    </w:p>
    <w:p w14:paraId="6EB8EDBA" w14:textId="671341F1" w:rsidR="00FF4AC8" w:rsidRPr="009E3A67" w:rsidRDefault="00FF4AC8" w:rsidP="00FF4AC8">
      <w:pPr>
        <w:pStyle w:val="Textodenotaderodap"/>
        <w:spacing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estrutura social, política, económica e legal deste projeto, oficializado após 1948 é descrita, em primeiro lugar, por Fayez Sayegh como uma de “colonialismo de povoamento”, onde “o lema do regime supremacista de colonização sionista na Palestina [não é apenas de discriminação, mas] de eliminação racial” (SAYEGH, 1965:27)</w:t>
      </w:r>
      <w:r w:rsidR="00553CA3">
        <w:rPr>
          <w:rFonts w:ascii="Times New Roman" w:hAnsi="Times New Roman" w:cs="Times New Roman"/>
          <w:sz w:val="24"/>
          <w:szCs w:val="24"/>
        </w:rPr>
        <w:t>.</w:t>
      </w:r>
      <w:r w:rsidRPr="009E3A67">
        <w:rPr>
          <w:rFonts w:ascii="Times New Roman" w:hAnsi="Times New Roman" w:cs="Times New Roman"/>
          <w:sz w:val="24"/>
          <w:szCs w:val="24"/>
        </w:rPr>
        <w:t xml:space="preserve"> Este conceito, tal como o descreve Patrick Wolfe (2006), não carateriza um momento histórico isolado, mas uma estrutura e um processo sistemático e contínuo que procura, como objetivo e utopia, a eliminação das sociedades indígenas, em termos materiais (como genocídio), mas também simbólicos (da sua existência como memória produzida e narrada) – uma eliminação que se pode manifestar não somente como destruição, mas também como apropriação e extração de práticas, conhecimentos, objetos, etc. Os que chegam não põem apenas em prática um processo de acumulação originária –a partir da ocupação, despossessão, extração e exploração</w:t>
      </w:r>
      <w:r w:rsidRPr="009E3A67">
        <w:rPr>
          <w:rStyle w:val="Refdenotaderodap"/>
          <w:rFonts w:ascii="Times New Roman" w:hAnsi="Times New Roman" w:cs="Times New Roman"/>
        </w:rPr>
        <w:footnoteReference w:id="29"/>
      </w:r>
      <w:r w:rsidRPr="009E3A67">
        <w:rPr>
          <w:rFonts w:ascii="Times New Roman" w:hAnsi="Times New Roman" w:cs="Times New Roman"/>
          <w:sz w:val="24"/>
          <w:szCs w:val="24"/>
        </w:rPr>
        <w:t xml:space="preserve">– cuja mais-valia reverterá para a metrópole, mas estabelecem, sobre uma base territorial projetada como </w:t>
      </w:r>
      <w:r w:rsidRPr="009E3A67">
        <w:rPr>
          <w:rFonts w:ascii="Times New Roman" w:hAnsi="Times New Roman" w:cs="Times New Roman"/>
          <w:i/>
          <w:iCs/>
          <w:sz w:val="24"/>
          <w:szCs w:val="24"/>
        </w:rPr>
        <w:t xml:space="preserve">terra nullius </w:t>
      </w:r>
      <w:r w:rsidRPr="009E3A67">
        <w:rPr>
          <w:rFonts w:ascii="Times New Roman" w:hAnsi="Times New Roman" w:cs="Times New Roman"/>
          <w:sz w:val="24"/>
          <w:szCs w:val="24"/>
        </w:rPr>
        <w:t>(LINDQVIST, 2015)  – fabricando (o sistema e) a legitimidade legal necessária à sua tomada como propriedade exclusiva dos colonos que, segundo a mesma narrativa, a irão resgatar da sua improdutividade–, uma nova sociedade (à imagem e semelhança daquela(s) que conhecem), que se quer totalmente autónoma e segregada da(s) existente(s).</w:t>
      </w:r>
    </w:p>
    <w:p w14:paraId="4784EE5C" w14:textId="77777777" w:rsidR="00FF4AC8" w:rsidRPr="009E3A67" w:rsidRDefault="00FF4AC8" w:rsidP="00FF4AC8">
      <w:pPr>
        <w:pStyle w:val="Textodenotaderodap"/>
        <w:spacing w:after="240" w:line="360" w:lineRule="auto"/>
        <w:ind w:firstLine="708"/>
        <w:jc w:val="both"/>
        <w:rPr>
          <w:rFonts w:ascii="Times New Roman" w:hAnsi="Times New Roman" w:cs="Times New Roman"/>
        </w:rPr>
      </w:pPr>
      <w:r w:rsidRPr="009E3A67">
        <w:rPr>
          <w:rFonts w:ascii="Times New Roman" w:hAnsi="Times New Roman" w:cs="Times New Roman"/>
          <w:sz w:val="24"/>
          <w:szCs w:val="24"/>
        </w:rPr>
        <w:t xml:space="preserve">No contexto de colonização sionista da Palestina, Gershon Shafir (1989) e Baruch Kimmerling (1983) apresentam duas importantes análises que se debruçam sobre o espaço comunal do </w:t>
      </w:r>
      <w:r w:rsidRPr="009E3A67">
        <w:rPr>
          <w:rFonts w:ascii="Times New Roman" w:hAnsi="Times New Roman" w:cs="Times New Roman"/>
          <w:i/>
          <w:iCs/>
          <w:sz w:val="24"/>
          <w:szCs w:val="24"/>
        </w:rPr>
        <w:t xml:space="preserve">kibbutz </w:t>
      </w:r>
      <w:r w:rsidRPr="009E3A67">
        <w:rPr>
          <w:rFonts w:ascii="Times New Roman" w:hAnsi="Times New Roman" w:cs="Times New Roman"/>
          <w:sz w:val="24"/>
          <w:szCs w:val="24"/>
        </w:rPr>
        <w:t>–onde foi moldada a identidade masculinizada do colono sionista como guerreiro e trabalhador braçal–, quer como laboratório de uma aliança entre capital e trabalho judaicos, quer como modelo espacial e laboral da ocupação, dominação e segregação da sociedade indígena pela sociedade de colonos. Este espaço marca assim o duplo movimento no qual assenta o projeto colonial de povoamento, onde o “enraizamento” dos judeus como supostos indígenas da Palestina depende do desenraizamento e negação violenta dos palestinianos –um processo que depende tanto da reorganização das relações de propriedade, como dos modos de identificação coletiva.</w:t>
      </w:r>
    </w:p>
    <w:p w14:paraId="51B90794" w14:textId="77777777" w:rsidR="00FF4AC8" w:rsidRPr="009E3A67" w:rsidRDefault="00FF4AC8" w:rsidP="00FF4AC8">
      <w:pPr>
        <w:keepNext/>
        <w:spacing w:after="0" w:line="360" w:lineRule="auto"/>
        <w:jc w:val="both"/>
        <w:rPr>
          <w:rFonts w:ascii="Times New Roman" w:hAnsi="Times New Roman" w:cs="Times New Roman"/>
        </w:rPr>
      </w:pPr>
      <w:r w:rsidRPr="009E3A67">
        <w:rPr>
          <w:rFonts w:ascii="Times New Roman" w:hAnsi="Times New Roman" w:cs="Times New Roman"/>
          <w:noProof/>
          <w:sz w:val="24"/>
          <w:szCs w:val="24"/>
        </w:rPr>
        <w:drawing>
          <wp:inline distT="0" distB="0" distL="0" distR="0" wp14:anchorId="1F5BDBE1" wp14:editId="220F0322">
            <wp:extent cx="5427023" cy="3540802"/>
            <wp:effectExtent l="0" t="0" r="2540" b="2540"/>
            <wp:docPr id="1109451193" name="Imagem 2" descr="Uma imagem com desenho, escrita à mão, ar liv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51193" name="Imagem 2" descr="Uma imagem com desenho, escrita à mão, ar livre&#10;&#10;Descrição gerada automa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39845" cy="3549167"/>
                    </a:xfrm>
                    <a:prstGeom prst="rect">
                      <a:avLst/>
                    </a:prstGeom>
                    <a:noFill/>
                    <a:ln>
                      <a:noFill/>
                    </a:ln>
                  </pic:spPr>
                </pic:pic>
              </a:graphicData>
            </a:graphic>
          </wp:inline>
        </w:drawing>
      </w:r>
    </w:p>
    <w:p w14:paraId="42648F88" w14:textId="2A6865D2" w:rsidR="00FF4AC8" w:rsidRPr="009E3A67" w:rsidRDefault="00FF4AC8" w:rsidP="00186565">
      <w:pPr>
        <w:pStyle w:val="Legenda"/>
        <w:jc w:val="both"/>
        <w:rPr>
          <w:rFonts w:ascii="Times New Roman" w:hAnsi="Times New Roman" w:cs="Times New Roman"/>
          <w:color w:val="auto"/>
          <w:sz w:val="20"/>
          <w:szCs w:val="20"/>
          <w:lang w:val="en-US"/>
        </w:rPr>
      </w:pPr>
      <w:r w:rsidRPr="009E3A67">
        <w:rPr>
          <w:rFonts w:ascii="Times New Roman" w:hAnsi="Times New Roman" w:cs="Times New Roman"/>
          <w:b/>
          <w:bCs/>
          <w:i w:val="0"/>
          <w:iCs w:val="0"/>
          <w:color w:val="auto"/>
          <w:sz w:val="20"/>
          <w:szCs w:val="20"/>
        </w:rPr>
        <w:t xml:space="preserve">Imagem 2 </w:t>
      </w:r>
      <w:r w:rsidRPr="009E3A67">
        <w:rPr>
          <w:rFonts w:ascii="Times New Roman" w:hAnsi="Times New Roman" w:cs="Times New Roman"/>
          <w:i w:val="0"/>
          <w:iCs w:val="0"/>
          <w:color w:val="auto"/>
          <w:sz w:val="20"/>
          <w:szCs w:val="20"/>
        </w:rPr>
        <w:t xml:space="preserve">- Frontispício, publicado em 1815, retrata a revolta de pessoas negras que teve lugar em 1791, na região portuária do </w:t>
      </w:r>
      <w:r w:rsidRPr="009E3A67">
        <w:rPr>
          <w:rFonts w:ascii="Times New Roman" w:hAnsi="Times New Roman" w:cs="Times New Roman"/>
          <w:color w:val="auto"/>
          <w:sz w:val="20"/>
          <w:szCs w:val="20"/>
        </w:rPr>
        <w:t>Cap Français</w:t>
      </w:r>
      <w:r w:rsidRPr="009E3A67">
        <w:rPr>
          <w:rFonts w:ascii="Times New Roman" w:hAnsi="Times New Roman" w:cs="Times New Roman"/>
          <w:i w:val="0"/>
          <w:iCs w:val="0"/>
          <w:color w:val="auto"/>
          <w:sz w:val="20"/>
          <w:szCs w:val="20"/>
        </w:rPr>
        <w:t xml:space="preserve"> (hoje, </w:t>
      </w:r>
      <w:r w:rsidRPr="009E3A67">
        <w:rPr>
          <w:rFonts w:ascii="Times New Roman" w:hAnsi="Times New Roman" w:cs="Times New Roman"/>
          <w:color w:val="auto"/>
          <w:sz w:val="20"/>
          <w:szCs w:val="20"/>
        </w:rPr>
        <w:t>Cap Haitien</w:t>
      </w:r>
      <w:r w:rsidRPr="009E3A67">
        <w:rPr>
          <w:rFonts w:ascii="Times New Roman" w:hAnsi="Times New Roman" w:cs="Times New Roman"/>
          <w:i w:val="0"/>
          <w:iCs w:val="0"/>
          <w:color w:val="auto"/>
          <w:sz w:val="20"/>
          <w:szCs w:val="20"/>
        </w:rPr>
        <w:t xml:space="preserve">). </w:t>
      </w:r>
      <w:r w:rsidRPr="009E3A67">
        <w:rPr>
          <w:rFonts w:ascii="Times New Roman" w:hAnsi="Times New Roman" w:cs="Times New Roman"/>
          <w:i w:val="0"/>
          <w:iCs w:val="0"/>
          <w:color w:val="auto"/>
          <w:sz w:val="20"/>
          <w:szCs w:val="20"/>
          <w:lang w:val="en-US"/>
        </w:rPr>
        <w:t xml:space="preserve">Fonte: Biblioteca John Carter Brown, </w:t>
      </w:r>
      <w:hyperlink r:id="rId41" w:history="1">
        <w:r w:rsidR="00186565" w:rsidRPr="00480022">
          <w:rPr>
            <w:rStyle w:val="Hyperlink"/>
            <w:rFonts w:ascii="Times New Roman" w:hAnsi="Times New Roman" w:cs="Times New Roman"/>
            <w:i w:val="0"/>
            <w:iCs w:val="0"/>
            <w:sz w:val="20"/>
            <w:szCs w:val="20"/>
            <w:lang w:val="en-US"/>
          </w:rPr>
          <w:t>https://www.lookandlearn.com/history-images/YJC0013666/Incendie-du-Cap-R%C3%A9volte-g%C3%A9n%C3%A9rale-des-N%C3%A8gres-Massacre-des-Blanca-sic</w:t>
        </w:r>
      </w:hyperlink>
      <w:r w:rsidR="00186565">
        <w:rPr>
          <w:rFonts w:ascii="Times New Roman" w:hAnsi="Times New Roman" w:cs="Times New Roman"/>
          <w:i w:val="0"/>
          <w:iCs w:val="0"/>
          <w:color w:val="auto"/>
          <w:sz w:val="20"/>
          <w:szCs w:val="20"/>
          <w:lang w:val="en-US"/>
        </w:rPr>
        <w:t xml:space="preserve"> </w:t>
      </w:r>
      <w:r w:rsidRPr="009E3A67">
        <w:rPr>
          <w:rFonts w:ascii="Times New Roman" w:hAnsi="Times New Roman" w:cs="Times New Roman"/>
          <w:i w:val="0"/>
          <w:iCs w:val="0"/>
          <w:color w:val="auto"/>
          <w:sz w:val="20"/>
          <w:szCs w:val="20"/>
          <w:lang w:val="en-US"/>
        </w:rPr>
        <w:t>(Creative Commons).</w:t>
      </w:r>
    </w:p>
    <w:p w14:paraId="26E33B49"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lang w:val="en-US"/>
        </w:rPr>
        <w:tab/>
      </w:r>
      <w:r w:rsidRPr="009E3A67">
        <w:rPr>
          <w:rFonts w:ascii="Times New Roman" w:hAnsi="Times New Roman" w:cs="Times New Roman"/>
          <w:sz w:val="24"/>
          <w:szCs w:val="24"/>
        </w:rPr>
        <w:t>Diferentes populações indígenas, da Palestina a Abya Yala, descreve(ra)m este como um “mundo que não é o nosso” (KANAFANI, 2013), como um “mundo ao contrário” (AYALA, 2002 [1613]), ou como um presente perpétuo feito de “fim do mundo” (KRENAK, 2019), que os impérios e os colonos europeus exportaram muito antes de se falar do atual risco global de extinção antropocênica. Como nos revela Franz Fanon, esta realidade apenas poderia ser invertida por um processo histórico de descolonização “que se propõe alterar a ordem do mundo [como] programa de desordem absoluta” (FANON, 2015 [1961]:40), uma prática mobilizada de forma contínua, em diferentes momentos de revolta e de recusa. Um deles pode ser visto nesta segunda imagem, referente à primeira revolução (1791-1804) mobilizada e liderada por pessoas negras escravizadas e livres que permitiu reivindicar Santo Domingo pelo seu nome indígena de Haiti,</w:t>
      </w:r>
      <w:r w:rsidRPr="009E3A67">
        <w:rPr>
          <w:rStyle w:val="Refdenotaderodap"/>
          <w:rFonts w:ascii="Times New Roman" w:hAnsi="Times New Roman" w:cs="Times New Roman"/>
          <w:sz w:val="20"/>
          <w:szCs w:val="20"/>
        </w:rPr>
        <w:footnoteReference w:id="30"/>
      </w:r>
      <w:r w:rsidRPr="009E3A67">
        <w:rPr>
          <w:rFonts w:ascii="Times New Roman" w:hAnsi="Times New Roman" w:cs="Times New Roman"/>
          <w:sz w:val="24"/>
          <w:szCs w:val="24"/>
        </w:rPr>
        <w:t xml:space="preserve"> e que </w:t>
      </w:r>
      <w:r w:rsidRPr="009E3A67">
        <w:rPr>
          <w:rFonts w:ascii="Times New Roman" w:hAnsi="Times New Roman" w:cs="Times New Roman"/>
          <w:i/>
          <w:iCs/>
          <w:sz w:val="24"/>
          <w:szCs w:val="24"/>
        </w:rPr>
        <w:t>Cap Français</w:t>
      </w:r>
      <w:r w:rsidRPr="009E3A67">
        <w:rPr>
          <w:rFonts w:ascii="Times New Roman" w:hAnsi="Times New Roman" w:cs="Times New Roman"/>
          <w:sz w:val="24"/>
          <w:szCs w:val="24"/>
        </w:rPr>
        <w:t xml:space="preserve"> –principal foco de revolta em 1791– passasse a ser conhecido como </w:t>
      </w:r>
      <w:r w:rsidRPr="009E3A67">
        <w:rPr>
          <w:rFonts w:ascii="Times New Roman" w:hAnsi="Times New Roman" w:cs="Times New Roman"/>
          <w:i/>
          <w:iCs/>
          <w:sz w:val="24"/>
          <w:szCs w:val="24"/>
        </w:rPr>
        <w:t>Cap Haitien</w:t>
      </w:r>
      <w:r w:rsidRPr="009E3A67">
        <w:rPr>
          <w:rFonts w:ascii="Times New Roman" w:hAnsi="Times New Roman" w:cs="Times New Roman"/>
          <w:sz w:val="24"/>
          <w:szCs w:val="24"/>
        </w:rPr>
        <w:t>.</w:t>
      </w:r>
    </w:p>
    <w:p w14:paraId="7666220E"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Contudo, tanto a imagem como a sua legenda apontam, sobretudo, para o sofrimento, como “massacre”, daqueles que haviam (de)limitado o espaço da humanidade.</w:t>
      </w:r>
      <w:r w:rsidRPr="009E3A67">
        <w:rPr>
          <w:rStyle w:val="Refdenotaderodap"/>
          <w:rFonts w:ascii="Times New Roman" w:hAnsi="Times New Roman" w:cs="Times New Roman"/>
          <w:sz w:val="20"/>
          <w:szCs w:val="20"/>
        </w:rPr>
        <w:footnoteReference w:id="31"/>
      </w:r>
      <w:r w:rsidRPr="009E3A67">
        <w:rPr>
          <w:rFonts w:ascii="Times New Roman" w:hAnsi="Times New Roman" w:cs="Times New Roman"/>
          <w:sz w:val="24"/>
          <w:szCs w:val="24"/>
        </w:rPr>
        <w:t xml:space="preserve"> O olhar de quem observa o desenrolar dos acontecimentos reage com temor a algo que realmente não compreende, um processo interpretado como “inconcebível” no qual “as bestas” (CONRAD, 2019 [1899]) –supostamente subordinadas à sua condição e incapazes de produzir qualquer tipo de conhecimento ou ação política coletivas para lá de irrupções de violência espontâneas– interrompiam uma (crono)norma histórica e produziam uma revolução que expandia os conceitos de humanidade e liberdade para lá das fronteiras que lhes eram impostas. Como sugeriu Michel-Rolph Trouillot (2015), os pressupostos ontoepistemológicos que orienta(va)m uma genealogia moderna eram postos em causa, ou seja, uma ideia de Homem (no singular, como proprietário</w:t>
      </w:r>
      <w:r w:rsidRPr="009E3A67">
        <w:rPr>
          <w:rStyle w:val="Refdenotaderodap"/>
          <w:rFonts w:ascii="Times New Roman" w:hAnsi="Times New Roman" w:cs="Times New Roman"/>
          <w:sz w:val="20"/>
          <w:szCs w:val="20"/>
        </w:rPr>
        <w:footnoteReference w:id="32"/>
      </w:r>
      <w:r w:rsidRPr="009E3A67">
        <w:rPr>
          <w:rFonts w:ascii="Times New Roman" w:hAnsi="Times New Roman" w:cs="Times New Roman"/>
          <w:sz w:val="20"/>
          <w:szCs w:val="20"/>
        </w:rPr>
        <w:t xml:space="preserve"> </w:t>
      </w:r>
      <w:r w:rsidRPr="009E3A67">
        <w:rPr>
          <w:rFonts w:ascii="Times New Roman" w:hAnsi="Times New Roman" w:cs="Times New Roman"/>
          <w:sz w:val="24"/>
          <w:szCs w:val="24"/>
        </w:rPr>
        <w:t>europeu, branco e masculino) que faz a História (uma narrativa linear sobre si mesmo, tida como única válida, relevante e universal) era superada pelo Artigo 14 da Constituição haitiana de 1805, onde “a partir de agora, todos os cidadãos, apenas serão conhecidos pela denominação genérica de negros”. (PID, 15 jul. 1805)</w:t>
      </w:r>
    </w:p>
    <w:p w14:paraId="47355850"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Apesar dos “sem história” e “sem escrita” terem reescrito a História como possibilidade subalterna, o controle sobre os meios de produção histórico-científica continua(ra)m a estar concentrados nas mãos daqueles representados como “vítimas” da Revolução Haitiana. Por isso mesmo, a frase que marcou a desordem absoluta de uma ordem raci(on)al moderna e que desencadeou uma modernidade subalterna, como prática de poder popular a partir das margens, caiu no esquecimento</w:t>
      </w:r>
      <w:r w:rsidRPr="009E3A67">
        <w:rPr>
          <w:rStyle w:val="Refdenotaderodap"/>
          <w:rFonts w:ascii="Times New Roman" w:hAnsi="Times New Roman" w:cs="Times New Roman"/>
          <w:sz w:val="20"/>
          <w:szCs w:val="20"/>
        </w:rPr>
        <w:footnoteReference w:id="33"/>
      </w:r>
      <w:r w:rsidRPr="009E3A67">
        <w:rPr>
          <w:rFonts w:ascii="Times New Roman" w:hAnsi="Times New Roman" w:cs="Times New Roman"/>
          <w:sz w:val="24"/>
          <w:szCs w:val="24"/>
        </w:rPr>
        <w:t xml:space="preserve"> ou tornou-se acessória aos “grandes eventos” da chamada “era das revoluções” (HOBSBAWM, 2012). Gurminder K. Bhambra (2016) relembra, por exemplo, que a abolição da escravatura e da discriminação racial, postas em prática, em primeiro lugar, pelos “Jacobinos Negros” do Haiti, apenas entraria nos livros de história depois do seu reconhecimento pelos “Jacobinos Franceses”, em 1794 (CNF, 4 fev. 1794),</w:t>
      </w:r>
      <w:r w:rsidRPr="009E3A67">
        <w:rPr>
          <w:rStyle w:val="Refdenotaderodap"/>
          <w:rFonts w:ascii="Times New Roman" w:hAnsi="Times New Roman" w:cs="Times New Roman"/>
          <w:sz w:val="20"/>
          <w:szCs w:val="20"/>
        </w:rPr>
        <w:footnoteReference w:id="34"/>
      </w:r>
      <w:r w:rsidRPr="009E3A67">
        <w:rPr>
          <w:rFonts w:ascii="Times New Roman" w:hAnsi="Times New Roman" w:cs="Times New Roman"/>
          <w:sz w:val="24"/>
          <w:szCs w:val="24"/>
        </w:rPr>
        <w:t xml:space="preserve"> sem ser feita a devida referência a Jean-Baptiste Belley, um ex-escravizado e revolucionário negro nascido na Ilha de Gorée (Senegal) que havia comprado a sua liberdade e que liderou a delegação haitiana responsável por essa expansão de direitos ter chegado a solo europeu.</w:t>
      </w:r>
    </w:p>
    <w:p w14:paraId="6489DE2F"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Apesar disso, apenas as Revoluções Francesa (1789-1799) e Americana</w:t>
      </w:r>
      <w:r w:rsidRPr="009E3A67">
        <w:rPr>
          <w:rStyle w:val="Refdenotaderodap"/>
          <w:rFonts w:ascii="Times New Roman" w:hAnsi="Times New Roman" w:cs="Times New Roman"/>
          <w:sz w:val="20"/>
          <w:szCs w:val="20"/>
        </w:rPr>
        <w:footnoteReference w:id="35"/>
      </w:r>
      <w:r w:rsidRPr="009E3A67">
        <w:rPr>
          <w:rFonts w:ascii="Times New Roman" w:hAnsi="Times New Roman" w:cs="Times New Roman"/>
          <w:sz w:val="24"/>
          <w:szCs w:val="24"/>
        </w:rPr>
        <w:t xml:space="preserve"> (1765-1783), apresentadas como marcadores de ruturas históricas tanto com o Antigo Regime (feudal e monárquico), como com o imperialismo europeu, eram capazes de afirmar e estabilizar uma continuidade genealógica do centro do sistema-mundo com os conceitos de racionalidade, liberdade, igualdade e humanismo.</w:t>
      </w:r>
      <w:r w:rsidRPr="009E3A67">
        <w:rPr>
          <w:rStyle w:val="Refdenotaderodap"/>
          <w:rFonts w:ascii="Times New Roman" w:hAnsi="Times New Roman" w:cs="Times New Roman"/>
          <w:sz w:val="20"/>
          <w:szCs w:val="20"/>
        </w:rPr>
        <w:footnoteReference w:id="36"/>
      </w:r>
      <w:r w:rsidRPr="009E3A67">
        <w:rPr>
          <w:rFonts w:ascii="Times New Roman" w:hAnsi="Times New Roman" w:cs="Times New Roman"/>
          <w:sz w:val="24"/>
          <w:szCs w:val="24"/>
        </w:rPr>
        <w:t xml:space="preserve"> Os “jardins” europeu e ocidental (re)afirma(va)m-se assim como únicos espaços de produção de conhecimento, fabricando a relação entre uma geografia imaginada e aquilo que foi definido como escola de pensamento –a ideia de continuidade (ou mesmo de total coincidência) epistemológica e territorial entre a Europa moderna e a Grécia Antiga, por exemplo (AMIN, 2021 [1988])–, ignorando que essa escola se desenvolveu a partir de trocas, contaminações e traduções elaboradas no permanente contato entre diferentes tradições de conhecimento, geografias e idiomas e, por fim, considerando outras tradições e cosmologias –aquelas produzidas pelos “povos” representados como “pré-históricos”– como menores, porque meramente empíricas ou simplesmente pertencentes ao campo das superstições.</w:t>
      </w:r>
    </w:p>
    <w:p w14:paraId="181DAB36"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Dentro desta realidade, pouco importa(va) que estas duas revoluções rompessem com a relação entre hereditariedade e direitos para lançarem as bases de uma nova ordem</w:t>
      </w:r>
      <w:r w:rsidRPr="009E3A67">
        <w:rPr>
          <w:rStyle w:val="Refdenotaderodap"/>
          <w:rFonts w:ascii="Times New Roman" w:hAnsi="Times New Roman" w:cs="Times New Roman"/>
          <w:sz w:val="20"/>
          <w:szCs w:val="20"/>
        </w:rPr>
        <w:footnoteReference w:id="37"/>
      </w:r>
      <w:r w:rsidRPr="009E3A67">
        <w:rPr>
          <w:rFonts w:ascii="Times New Roman" w:hAnsi="Times New Roman" w:cs="Times New Roman"/>
          <w:sz w:val="24"/>
          <w:szCs w:val="24"/>
        </w:rPr>
        <w:t xml:space="preserve"> marcada pela coincidência entre propriedade e direitos,</w:t>
      </w:r>
      <w:r w:rsidRPr="009E3A67">
        <w:rPr>
          <w:rStyle w:val="Refdenotaderodap"/>
          <w:rFonts w:ascii="Times New Roman" w:hAnsi="Times New Roman" w:cs="Times New Roman"/>
          <w:sz w:val="20"/>
          <w:szCs w:val="20"/>
        </w:rPr>
        <w:footnoteReference w:id="38"/>
      </w:r>
      <w:r w:rsidRPr="009E3A67">
        <w:rPr>
          <w:rFonts w:ascii="Times New Roman" w:hAnsi="Times New Roman" w:cs="Times New Roman"/>
          <w:sz w:val="24"/>
          <w:szCs w:val="24"/>
        </w:rPr>
        <w:t xml:space="preserve"> que se estendeu fundamentalmente a homens europeus brancos, ou seja, onde um conceito pretensamente universal de humanidade era definido (pelos mesmos proprietários europeus brancos) de forma hierárquica e limitada. Aqui com destaque para o caso dos EUA, onde às hierarquias de gênero e classe acrescia a incapacidade para pôr em causa aquelas raciais, algo que fica evidente, como refere Domenico Losurdo (2007), na posição de vários dos “pais fundadores” da república federativa, como defensores da escravatura e/ou como proprietários de pessoas negras escravizadas, ou na violenta expansão do genocídio e despossessão indígenas levados a cabo na conquista do Oeste, no período posterior à independência conquistada pelos colonos europeus brancos, que lançariam as bases de uma nova sociedade construída contra as populações negra (projetada como mercadoria) e indígena (projetada como invasora no seu próprio território).</w:t>
      </w:r>
      <w:r w:rsidRPr="009E3A67">
        <w:rPr>
          <w:rStyle w:val="Refdenotaderodap"/>
          <w:rFonts w:ascii="Times New Roman" w:hAnsi="Times New Roman" w:cs="Times New Roman"/>
          <w:sz w:val="20"/>
          <w:szCs w:val="20"/>
        </w:rPr>
        <w:footnoteReference w:id="39"/>
      </w:r>
    </w:p>
    <w:p w14:paraId="453DECF1"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Esta coincidência entre propriedade, direitos e branquitude ocultada sob a capa de um universalismo excludente e descrita por Cheryl Harris (1993) para o contexto estadunidense, manifesta-se em Israel como coincidência entre propriedade, direitos e judaicidade (EGHBARIAH, 9 jul. 2021). Foi esse elemento, reforçado por várias Leis Base,</w:t>
      </w:r>
      <w:r w:rsidRPr="009E3A67">
        <w:rPr>
          <w:rStyle w:val="Refdenotaderodap"/>
          <w:rFonts w:ascii="Times New Roman" w:hAnsi="Times New Roman" w:cs="Times New Roman"/>
          <w:sz w:val="20"/>
          <w:szCs w:val="20"/>
        </w:rPr>
        <w:footnoteReference w:id="40"/>
      </w:r>
      <w:r w:rsidRPr="009E3A67">
        <w:rPr>
          <w:rFonts w:ascii="Times New Roman" w:hAnsi="Times New Roman" w:cs="Times New Roman"/>
          <w:sz w:val="24"/>
          <w:szCs w:val="24"/>
        </w:rPr>
        <w:t xml:space="preserve"> que garantiu o estabelecimento de uma supremacia judaica em todo o território ocupado entre 1947 e 1949 – expandindo-a, desde 1967, a todo o território da Palestina histórica– e que apresenta os palestinianos como cidadãos de segunda-classe, estrangeiros não-desejados e com uma presença sempre efêmera (até a sua expulsão definitiva ser concretizada) na sua própria casa –uma política ativa de desenraizamento que se reflete em todas as dimensões da vida palestiniana, desde o acesso à terra como proprietários e produtores,</w:t>
      </w:r>
      <w:r w:rsidRPr="009E3A67">
        <w:rPr>
          <w:rStyle w:val="Refdenotaderodap"/>
          <w:rFonts w:ascii="Times New Roman" w:hAnsi="Times New Roman" w:cs="Times New Roman"/>
          <w:sz w:val="20"/>
          <w:szCs w:val="20"/>
        </w:rPr>
        <w:footnoteReference w:id="41"/>
      </w:r>
      <w:r w:rsidRPr="009E3A67">
        <w:rPr>
          <w:rFonts w:ascii="Times New Roman" w:hAnsi="Times New Roman" w:cs="Times New Roman"/>
          <w:sz w:val="24"/>
          <w:szCs w:val="24"/>
        </w:rPr>
        <w:t xml:space="preserve"> até ao acesso a direitos básicos como o direito de retorno,</w:t>
      </w:r>
      <w:r w:rsidRPr="009E3A67">
        <w:rPr>
          <w:rStyle w:val="Refdenotaderodap"/>
          <w:rFonts w:ascii="Times New Roman" w:hAnsi="Times New Roman" w:cs="Times New Roman"/>
          <w:sz w:val="20"/>
          <w:szCs w:val="20"/>
        </w:rPr>
        <w:footnoteReference w:id="42"/>
      </w:r>
      <w:r w:rsidRPr="009E3A67">
        <w:rPr>
          <w:rFonts w:ascii="Times New Roman" w:hAnsi="Times New Roman" w:cs="Times New Roman"/>
          <w:sz w:val="24"/>
          <w:szCs w:val="24"/>
        </w:rPr>
        <w:t xml:space="preserve"> cidadania integral,</w:t>
      </w:r>
      <w:r w:rsidRPr="009E3A67">
        <w:rPr>
          <w:rStyle w:val="Refdenotaderodap"/>
          <w:rFonts w:ascii="Times New Roman" w:hAnsi="Times New Roman" w:cs="Times New Roman"/>
          <w:sz w:val="20"/>
          <w:szCs w:val="20"/>
        </w:rPr>
        <w:footnoteReference w:id="43"/>
      </w:r>
      <w:r w:rsidRPr="009E3A67">
        <w:rPr>
          <w:rFonts w:ascii="Times New Roman" w:hAnsi="Times New Roman" w:cs="Times New Roman"/>
          <w:sz w:val="24"/>
          <w:szCs w:val="24"/>
        </w:rPr>
        <w:t xml:space="preserve"> livre circulação, trabalho, saúde, educação, habitação, etc.</w:t>
      </w:r>
    </w:p>
    <w:p w14:paraId="67A0C990" w14:textId="78209A22" w:rsidR="00FF4AC8" w:rsidRPr="009E3A67" w:rsidRDefault="00F04661" w:rsidP="00FF4AC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2.1</w:t>
      </w:r>
      <w:r w:rsidR="00FF4AC8" w:rsidRPr="009E3A67">
        <w:rPr>
          <w:rFonts w:ascii="Times New Roman" w:hAnsi="Times New Roman" w:cs="Times New Roman"/>
          <w:b/>
          <w:bCs/>
          <w:sz w:val="24"/>
          <w:szCs w:val="24"/>
        </w:rPr>
        <w:t xml:space="preserve"> EXCECIONALIDADE(S) NA ERA DOS DIREITOS HUMANOS</w:t>
      </w:r>
    </w:p>
    <w:p w14:paraId="1E6175DA"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0"/>
          <w:szCs w:val="20"/>
        </w:rPr>
        <w:tab/>
      </w:r>
      <w:r w:rsidRPr="009E3A67">
        <w:rPr>
          <w:rFonts w:ascii="Times New Roman" w:hAnsi="Times New Roman" w:cs="Times New Roman"/>
          <w:sz w:val="24"/>
          <w:szCs w:val="24"/>
        </w:rPr>
        <w:t>É no</w:t>
      </w:r>
      <w:r w:rsidRPr="009E3A67">
        <w:rPr>
          <w:rFonts w:ascii="Times New Roman" w:hAnsi="Times New Roman" w:cs="Times New Roman"/>
          <w:sz w:val="32"/>
          <w:szCs w:val="32"/>
        </w:rPr>
        <w:t xml:space="preserve"> </w:t>
      </w:r>
      <w:r w:rsidRPr="009E3A67">
        <w:rPr>
          <w:rFonts w:ascii="Times New Roman" w:hAnsi="Times New Roman" w:cs="Times New Roman"/>
          <w:sz w:val="24"/>
          <w:szCs w:val="24"/>
        </w:rPr>
        <w:t>contexto do pós-Segunda Guerra Mundial (1939-1945), cuja consequência mais nefasta foi o genocídio levado a cabo pelo movimento nazi-fascista contra cerca de seis milhões de judeus (Holocausto),</w:t>
      </w:r>
      <w:r w:rsidRPr="009E3A67">
        <w:rPr>
          <w:rStyle w:val="Refdenotaderodap"/>
          <w:rFonts w:ascii="Times New Roman" w:hAnsi="Times New Roman" w:cs="Times New Roman"/>
          <w:sz w:val="20"/>
          <w:szCs w:val="20"/>
        </w:rPr>
        <w:footnoteReference w:id="44"/>
      </w:r>
      <w:r w:rsidRPr="009E3A67">
        <w:rPr>
          <w:rFonts w:ascii="Times New Roman" w:hAnsi="Times New Roman" w:cs="Times New Roman"/>
          <w:sz w:val="24"/>
          <w:szCs w:val="24"/>
        </w:rPr>
        <w:t xml:space="preserve"> que se dá o estabelecimento do Estado de Israel. Este período fica também marcado pela reestruturação do quadro de relações internacionais e pela reorganização dos equilíbrios de poder, com a gradual ascensão dos EUA como potência hegemónica global, algo que se viria a cristalizar com o desmantelamento da URSS na última década do século XX. 1948 marca ainda a ratificação, pela Assembleia Geral da ONU, da </w:t>
      </w:r>
      <w:r w:rsidRPr="009E3A67">
        <w:rPr>
          <w:rFonts w:ascii="Times New Roman" w:hAnsi="Times New Roman" w:cs="Times New Roman"/>
          <w:i/>
          <w:iCs/>
          <w:sz w:val="24"/>
          <w:szCs w:val="24"/>
        </w:rPr>
        <w:t xml:space="preserve">Declaração Universal dos Direitos Humanos </w:t>
      </w:r>
      <w:r w:rsidRPr="009E3A67">
        <w:rPr>
          <w:rFonts w:ascii="Times New Roman" w:hAnsi="Times New Roman" w:cs="Times New Roman"/>
          <w:sz w:val="24"/>
          <w:szCs w:val="24"/>
        </w:rPr>
        <w:t>(AG-ONU, 10 dez. 1948), documento que ajudou a definir um outro paradigma de humanidade ao expandir o acesso a direitos a todos os seres humanos sem distinção “de raça, de cor, de sexo, de língua, de religião, de opinião política ou outra, de origem nacional ou social, de fortuna, de nascimento ou de qualquer outra situação”. Menos de um ano depois dessa ratificação, a 11 de maio de 1949, após a suspensão do conflito armado com os seus vizinhos árabes e de ter declarado fronteiras (que são, até hoje) temporárias, Israel é admitido como 59º Estado-membro da ONU (AG-ONU, 4 mar. 1949).</w:t>
      </w:r>
    </w:p>
    <w:p w14:paraId="1BF2EC30"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Foi essa declaração universal, como base para garantir direitos a uma escala global e lançar novos instrumentos de diplomacia e direito internacionais, que reforçou a questão do “direito de asilo” –mais tarde ampliado pelo “estatuto do refugiado” (AG-ONU, 16 dez. 1966)–, pensado para dar resposta à crise humanitária vivida num contexto de deslocações em massa. Apesar de ter ratificado tanto a declaração de 1948, quanto o protocolo de 1966, Israel incumpre em absoluto o que está expresso nos dois textos e também na Resolução 194 (AG-ONU, 11 dez. 1948) da Assembleia Geral da ONU</w:t>
      </w:r>
      <w:r w:rsidRPr="009E3A67">
        <w:rPr>
          <w:rStyle w:val="Refdenotaderodap"/>
          <w:rFonts w:ascii="Times New Roman" w:hAnsi="Times New Roman" w:cs="Times New Roman"/>
          <w:sz w:val="20"/>
          <w:szCs w:val="20"/>
        </w:rPr>
        <w:footnoteReference w:id="45"/>
      </w:r>
      <w:r w:rsidRPr="009E3A67">
        <w:rPr>
          <w:rFonts w:ascii="Times New Roman" w:hAnsi="Times New Roman" w:cs="Times New Roman"/>
          <w:sz w:val="24"/>
          <w:szCs w:val="24"/>
        </w:rPr>
        <w:t>, ao impedir o retorno –e ao negar o estatuto de refugiados– aos mais de 750 000 e aos cerca de 320 000 palestinianos e seus descendentes</w:t>
      </w:r>
      <w:r w:rsidRPr="009E3A67">
        <w:rPr>
          <w:rStyle w:val="Refdenotaderodap"/>
          <w:rFonts w:ascii="Times New Roman" w:hAnsi="Times New Roman" w:cs="Times New Roman"/>
          <w:sz w:val="20"/>
          <w:szCs w:val="20"/>
        </w:rPr>
        <w:footnoteReference w:id="46"/>
      </w:r>
      <w:r w:rsidRPr="009E3A67">
        <w:rPr>
          <w:rFonts w:ascii="Times New Roman" w:hAnsi="Times New Roman" w:cs="Times New Roman"/>
          <w:sz w:val="24"/>
          <w:szCs w:val="24"/>
        </w:rPr>
        <w:t xml:space="preserve"> (MASALHA, 2003), que haviam sido expulsos em 1948 e, depois, em 1967, ano da </w:t>
      </w:r>
      <w:r w:rsidRPr="009E3A67">
        <w:rPr>
          <w:rFonts w:ascii="Times New Roman" w:hAnsi="Times New Roman" w:cs="Times New Roman"/>
          <w:i/>
          <w:iCs/>
          <w:sz w:val="24"/>
          <w:szCs w:val="24"/>
        </w:rPr>
        <w:t>Naksa</w:t>
      </w:r>
      <w:r w:rsidRPr="009E3A67">
        <w:rPr>
          <w:rStyle w:val="Refdenotaderodap"/>
          <w:rFonts w:ascii="Times New Roman" w:hAnsi="Times New Roman" w:cs="Times New Roman"/>
          <w:sz w:val="20"/>
          <w:szCs w:val="20"/>
        </w:rPr>
        <w:footnoteReference w:id="47"/>
      </w:r>
      <w:r w:rsidRPr="009E3A67">
        <w:rPr>
          <w:rFonts w:ascii="Times New Roman" w:hAnsi="Times New Roman" w:cs="Times New Roman"/>
          <w:sz w:val="24"/>
          <w:szCs w:val="24"/>
        </w:rPr>
        <w:t xml:space="preserve"> (em português, “Recaída”). Foi também em 1948, e para evitar a repetição dos crimes cometidos pelo movimento nazi-fascista durante a Segunda Guerra Mundial, que, pela primeira vez, o genocídio foi reconhecido como crime ao abrigo do direito internacional (United Nations, s.d. a), algo codificado numa convenção que entraria em vigor em 1951 (AG-ONU, 9 dez. 1948) e que foi ratificada em 1950 por Israel (país que, desde dezembro de 2023 (TIJ, 29 dez. 2023), está a ser acusado e investigado pelo incumprimento da dita </w:t>
      </w:r>
      <w:r w:rsidRPr="009E3A67">
        <w:rPr>
          <w:rFonts w:ascii="Times New Roman" w:hAnsi="Times New Roman" w:cs="Times New Roman"/>
          <w:i/>
          <w:iCs/>
          <w:sz w:val="24"/>
          <w:szCs w:val="24"/>
        </w:rPr>
        <w:t>Convenção para a prevenção e repressão do crime de genocídio</w:t>
      </w:r>
      <w:r w:rsidRPr="009E3A67">
        <w:rPr>
          <w:rFonts w:ascii="Times New Roman" w:hAnsi="Times New Roman" w:cs="Times New Roman"/>
          <w:sz w:val="24"/>
          <w:szCs w:val="24"/>
        </w:rPr>
        <w:t>).</w:t>
      </w:r>
      <w:r w:rsidRPr="009E3A67">
        <w:rPr>
          <w:rStyle w:val="Refdenotaderodap"/>
          <w:rFonts w:ascii="Times New Roman" w:hAnsi="Times New Roman" w:cs="Times New Roman"/>
          <w:sz w:val="20"/>
          <w:szCs w:val="20"/>
        </w:rPr>
        <w:footnoteReference w:id="48"/>
      </w:r>
    </w:p>
    <w:p w14:paraId="515BA58F" w14:textId="60947070"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Este tipo de contradições não impediram, contudo, que o país fosse aceite e permanecesse integrado como membro de pleno direito da ONU, o que diz muito sobre o modo de funcionamento e a eficácia –em fazer cumprir as resoluções e normas aprovadas– desta organização, mas também sobre o direito internacional como ferramenta não-neutra</w:t>
      </w:r>
      <w:r w:rsidRPr="009E3A67">
        <w:rPr>
          <w:rStyle w:val="Refdenotaderodap"/>
          <w:rFonts w:ascii="Times New Roman" w:hAnsi="Times New Roman" w:cs="Times New Roman"/>
          <w:sz w:val="20"/>
          <w:szCs w:val="20"/>
        </w:rPr>
        <w:footnoteReference w:id="49"/>
      </w:r>
      <w:r w:rsidRPr="009E3A67">
        <w:rPr>
          <w:rFonts w:ascii="Times New Roman" w:hAnsi="Times New Roman" w:cs="Times New Roman"/>
          <w:sz w:val="24"/>
          <w:szCs w:val="24"/>
        </w:rPr>
        <w:t xml:space="preserve"> e dependente de um equilíbrio de forças que pode limitar e/ou expandir a sua aplicabilidade</w:t>
      </w:r>
      <w:r w:rsidRPr="009E3A67">
        <w:rPr>
          <w:rStyle w:val="Refdenotaderodap"/>
          <w:rFonts w:ascii="Times New Roman" w:hAnsi="Times New Roman" w:cs="Times New Roman"/>
          <w:sz w:val="20"/>
          <w:szCs w:val="20"/>
        </w:rPr>
        <w:footnoteReference w:id="50"/>
      </w:r>
      <w:r w:rsidRPr="009E3A67">
        <w:rPr>
          <w:rFonts w:ascii="Times New Roman" w:hAnsi="Times New Roman" w:cs="Times New Roman"/>
          <w:sz w:val="24"/>
          <w:szCs w:val="24"/>
        </w:rPr>
        <w:t xml:space="preserve"> e sobre a posição de excecionalidade ocupada por Israel no quadro de relações internacionais. Se é verdade que a ONU, como fórum diplomático, potenciou –</w:t>
      </w:r>
      <w:r w:rsidR="006D2A8A">
        <w:rPr>
          <w:rFonts w:ascii="Times New Roman" w:hAnsi="Times New Roman" w:cs="Times New Roman"/>
          <w:sz w:val="24"/>
          <w:szCs w:val="24"/>
        </w:rPr>
        <w:t xml:space="preserve"> </w:t>
      </w:r>
      <w:r w:rsidRPr="009E3A67">
        <w:rPr>
          <w:rFonts w:ascii="Times New Roman" w:hAnsi="Times New Roman" w:cs="Times New Roman"/>
          <w:sz w:val="24"/>
          <w:szCs w:val="24"/>
        </w:rPr>
        <w:t>principalmente após a progressiva entrada de Estados nascidos das lutas de libertação nacional</w:t>
      </w:r>
      <w:r w:rsidR="006D2A8A">
        <w:rPr>
          <w:rFonts w:ascii="Times New Roman" w:hAnsi="Times New Roman" w:cs="Times New Roman"/>
          <w:sz w:val="24"/>
          <w:szCs w:val="24"/>
        </w:rPr>
        <w:t xml:space="preserve"> </w:t>
      </w:r>
      <w:r w:rsidRPr="009E3A67">
        <w:rPr>
          <w:rFonts w:ascii="Times New Roman" w:hAnsi="Times New Roman" w:cs="Times New Roman"/>
          <w:sz w:val="24"/>
          <w:szCs w:val="24"/>
        </w:rPr>
        <w:t>– o caráter democrático da tomada de decisões políticas a uma escala global, também é verdade que esta organização sempre teve mecanismos internos que potenciam a centralização, pelas principais potências globais, da vinculação às resoluções aprovadas.</w:t>
      </w:r>
    </w:p>
    <w:p w14:paraId="43EB3AA9"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Dentro da organização existem, por um lado, corpos deliberativos, legislativos e representativos, como a Assembleia Geral (United Nations, s.d. b), onde cada país tem direito a um voto numa relação de igualdade, independentemente da sua capacidade financeira ou poder de influência político, por outro, há o Conselho de Segurança (United Nations, s.d. c), responsável pela aprovação de alterações à Carta das Nações Unidas, pela admissão de novos Estados-membros e que tem o papel de garantir a paz e a segurança internacionais. Este é constituído por quinze Estados-membros (antes de 1966 eram apenas onze), dos quais dez têm assento rotativo (antes de 1966 eram seis) e apenas cinco (China, EUA, França, Reino Unido e Rússia)</w:t>
      </w:r>
      <w:r w:rsidRPr="009E3A67">
        <w:rPr>
          <w:rStyle w:val="Refdenotaderodap"/>
          <w:rFonts w:ascii="Times New Roman" w:hAnsi="Times New Roman" w:cs="Times New Roman"/>
          <w:sz w:val="20"/>
          <w:szCs w:val="20"/>
        </w:rPr>
        <w:footnoteReference w:id="51"/>
      </w:r>
      <w:r w:rsidRPr="009E3A67">
        <w:rPr>
          <w:rFonts w:ascii="Times New Roman" w:hAnsi="Times New Roman" w:cs="Times New Roman"/>
          <w:sz w:val="24"/>
          <w:szCs w:val="24"/>
        </w:rPr>
        <w:t xml:space="preserve"> têm assento permanente, sendo que, apenas os Estados com assento permanente têm poder de veto, ou seja, de bloquear com apenas um voto qualquer medida sancionatória direcionada a qualquer Estado-membro. O direito de veto determina um brutal desequilíbrio de poder no que diz respeito à tomada de decisões com caráter vinculativo, algo frequentemente usado como instrumento para proteger os próprios Estados-membros com assento permanente e/ou os seus principais aliados.</w:t>
      </w:r>
    </w:p>
    <w:p w14:paraId="32364BD3"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Como apresenta Noura Erakat (2019), apenas em 1960 –período que marca o auge das lutas de libertação nacional e dos processos de descolonização, onde trinta e cinco novos Estados independentes foram integrados como membros de pleno direito da ONU, dezasseis em 1955 e dezanove em 1960– e com a aprovação da Resolução 1514 (AG-ONU, 14 dez. 1960), ou </w:t>
      </w:r>
      <w:r w:rsidRPr="009E3A67">
        <w:rPr>
          <w:rFonts w:ascii="Times New Roman" w:hAnsi="Times New Roman" w:cs="Times New Roman"/>
          <w:i/>
          <w:iCs/>
          <w:sz w:val="24"/>
          <w:szCs w:val="24"/>
        </w:rPr>
        <w:t>Declaração sobre a Concessão da Independência aos Países e Povos Coloniais</w:t>
      </w:r>
      <w:r w:rsidRPr="009E3A67">
        <w:rPr>
          <w:rFonts w:ascii="Times New Roman" w:hAnsi="Times New Roman" w:cs="Times New Roman"/>
          <w:sz w:val="24"/>
          <w:szCs w:val="24"/>
        </w:rPr>
        <w:t>, pela Assembleia Geral da ONU, é que a autodeterminação é estabelecida como norma equivalente à independência. Ou seja, foram as lutas de libertação nacional, através das quais os povos colonizados conquistaram pela força da organização coletiva e das armas o seu direito à autodeterminação e independência, que expandiram o direito internacional e tornaram definitivamente ilegítimo e ilegal o modo de administração colonial. Algo que havia sido, até então, negligenciado pelo entendimento dos impérios europeus e seus sucessores (com destaque para os EUA), onde a autodeterminação era tolerável apenas e só quando existisse uma convergência com os seus interesses estratégicos e geopolíticos.</w:t>
      </w:r>
      <w:r w:rsidRPr="009E3A67">
        <w:rPr>
          <w:rStyle w:val="Refdenotaderodap"/>
          <w:rFonts w:ascii="Times New Roman" w:hAnsi="Times New Roman" w:cs="Times New Roman"/>
          <w:sz w:val="20"/>
          <w:szCs w:val="20"/>
        </w:rPr>
        <w:footnoteReference w:id="52"/>
      </w:r>
    </w:p>
    <w:p w14:paraId="68079CBD"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A modernidade ocidental burguesa teve de ser novamente interrompida, a partir de baixo e das margens, para que uma real pluralidade democrática fosse estabelecida num órgão internacional. Esta nova realidade permitiu que, pela primeira vez, o Sionismo fosse repudiado como uma forma de racismo e discriminação racial (AG-ONU, 10 dez. 1975) e que a ocupação, por parte de Israel, de territórios que faziam parte do Egito, da Jordânia e da Síria até ao dia 4 de junho de 1967, fosse agora, ao contrário de 1948, tida como um ato absolutamente ilegítimo e ilegal, algo que impedia o reconhecimento internacional da anexação </w:t>
      </w:r>
      <w:r w:rsidRPr="009E3A67">
        <w:rPr>
          <w:rFonts w:ascii="Times New Roman" w:hAnsi="Times New Roman" w:cs="Times New Roman"/>
          <w:i/>
          <w:iCs/>
          <w:sz w:val="24"/>
          <w:szCs w:val="24"/>
        </w:rPr>
        <w:t xml:space="preserve">de jure </w:t>
      </w:r>
      <w:r w:rsidRPr="009E3A67">
        <w:rPr>
          <w:rFonts w:ascii="Times New Roman" w:hAnsi="Times New Roman" w:cs="Times New Roman"/>
          <w:sz w:val="24"/>
          <w:szCs w:val="24"/>
        </w:rPr>
        <w:t>desses territórios.</w:t>
      </w:r>
    </w:p>
    <w:p w14:paraId="0714FC9E" w14:textId="77777777"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 xml:space="preserve">Contudo, e como explica Erakat (2019), isso não impediu a sua anexação </w:t>
      </w:r>
      <w:r w:rsidRPr="009E3A67">
        <w:rPr>
          <w:rFonts w:ascii="Times New Roman" w:hAnsi="Times New Roman" w:cs="Times New Roman"/>
          <w:i/>
          <w:iCs/>
          <w:sz w:val="24"/>
          <w:szCs w:val="24"/>
        </w:rPr>
        <w:t xml:space="preserve">de facto </w:t>
      </w:r>
      <w:r w:rsidRPr="009E3A67">
        <w:rPr>
          <w:rFonts w:ascii="Times New Roman" w:hAnsi="Times New Roman" w:cs="Times New Roman"/>
          <w:sz w:val="24"/>
          <w:szCs w:val="24"/>
        </w:rPr>
        <w:t>durante tempo indeterminado e a transferência de população civil, ou seja, de colonos, para os territórios palestinianos ocupados, algo potenciado pelo caráter contraditório e vago da Resolução 242 (CS-ONU, 22 nov. 1967). Na sua forma final, este documento vinculava a devolução dos territórios ilegalmente ocupados a um “processo de paz” entre Israel e os seus vizinhos árabes e permitia ajustes às fronteiras existentes antes da ocupação. Ou seja, por um lado, o texto, aprovado a 22 de novembro de 1967 por um Conselho de Segurança que escudava Israel, fazia pender de uma definitiva normalização regional deste Estado colonial</w:t>
      </w:r>
      <w:r w:rsidRPr="009E3A67">
        <w:rPr>
          <w:rStyle w:val="Refdenotaderodap"/>
          <w:rFonts w:ascii="Times New Roman" w:hAnsi="Times New Roman" w:cs="Times New Roman"/>
          <w:sz w:val="20"/>
          <w:szCs w:val="20"/>
        </w:rPr>
        <w:footnoteReference w:id="53"/>
      </w:r>
      <w:r w:rsidRPr="009E3A67">
        <w:rPr>
          <w:rFonts w:ascii="Times New Roman" w:hAnsi="Times New Roman" w:cs="Times New Roman"/>
          <w:sz w:val="24"/>
          <w:szCs w:val="24"/>
        </w:rPr>
        <w:t xml:space="preserve"> –e, portanto, da despossessão dos palestinianos desde 1948– a devolução dos territórios ocupados. Por outro, dava margem para uma interpretação “criativa” do direito internacional por parte de diferentes governos israelitas, que negavam a existência de soberania prévia sobre alguns territórios, como a Cisjordânia, e que afirmavam não existir qualquer comunidade nacional palestiniana com o direito à autodeterminação. Esta interpretação “criativa” não garantia o reconhecimento da legalidade das suas ações, contudo, o apoio incondicional dos aliados ocidentais de Israel, muitas vezes ocultado por uma retórica esvaziada de conteúdo, garantia, de forma tácita, a sua legitimação.</w:t>
      </w:r>
    </w:p>
    <w:p w14:paraId="4B2BF9D6" w14:textId="77777777"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Neste contexto, onde as dificuldades geradas por normas internacionais não servem os interesses estratégicos e geopolíticos das grandes potências e dos seus aliados e onde o cumprimento dessas normas é voluntário num sistema internacional que carece de mecanismos para as impor no terreno, a capacidade para exercer pressão política e militar sobrepõem-se. Este é um quadro de relações internacionais marcado por profundas desigualdades entre Estados, onde apenas alguns têm o privilégio de agir com quase absoluta impunidade. Essa excecionalidade, partilhada por Israel e pelos seus maiores aliados, é garantida, antes de mais, pela capacidade material que tem para ser articulada dentro de um sistema imperialista marcado pela hegemonia económica e militar de muito poucos atores. Contudo, a excecionalidade que permite, por exemplo, aos EUA declarar unilateralmente intervenções “humanitárias” em países soberanos e a Israel justificar qualquer violação do direito e normas internacionais apoiado num suposto “direito à autodefesa”, é construída a partir de consensos que assentam sobre uma base moral.</w:t>
      </w:r>
    </w:p>
    <w:p w14:paraId="711C68AC" w14:textId="77777777"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A posição de excecionalidade estadunidense está relacionada, como referi anteriormente, com a construção de uma ideia sobre universalismo, humanismo e democracia estabelecida aquando da conquista da sua independência relativamente à metrópole colonial britânica, numa narrativa que oculta a sustentação de um projeto nacional assente na escravização da população negra, na ocupação ilegítima de territórios e no extermínio da população indígena.</w:t>
      </w:r>
      <w:r w:rsidRPr="009E3A67">
        <w:rPr>
          <w:rStyle w:val="Refdenotaderodap"/>
          <w:rFonts w:ascii="Times New Roman" w:hAnsi="Times New Roman" w:cs="Times New Roman"/>
          <w:sz w:val="20"/>
          <w:szCs w:val="20"/>
        </w:rPr>
        <w:footnoteReference w:id="54"/>
      </w:r>
      <w:r w:rsidRPr="009E3A67">
        <w:rPr>
          <w:rFonts w:ascii="Times New Roman" w:hAnsi="Times New Roman" w:cs="Times New Roman"/>
          <w:sz w:val="24"/>
          <w:szCs w:val="24"/>
        </w:rPr>
        <w:t xml:space="preserve"> Quanto à posição de excecionalidade que Israel –um aliado com quem os EUA partilham uma mitologia nacional-colonial sobre o “destino manifesto” do “povo eleito”– ocupa no quadro de relações internacionais, ela deve-se a diferentes fatores materiais e simbólicos que funcionam em estreita articulação.</w:t>
      </w:r>
    </w:p>
    <w:p w14:paraId="69E877D5" w14:textId="77777777"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Quando Theodor Herzl afirma que o movimento sionista representará “um baluarte da Europa contra a Ásia”, ele está a apresentar um plano de intenções a quem quer ter como principais e indispensáveis aliados para o projeto de colonização da Palestina.</w:t>
      </w:r>
      <w:r w:rsidRPr="009E3A67">
        <w:rPr>
          <w:rStyle w:val="Refdenotaderodap"/>
          <w:rFonts w:ascii="Times New Roman" w:hAnsi="Times New Roman" w:cs="Times New Roman"/>
          <w:sz w:val="20"/>
          <w:szCs w:val="20"/>
        </w:rPr>
        <w:footnoteReference w:id="55"/>
      </w:r>
      <w:r w:rsidRPr="009E3A67">
        <w:rPr>
          <w:rFonts w:ascii="Times New Roman" w:hAnsi="Times New Roman" w:cs="Times New Roman"/>
          <w:sz w:val="24"/>
          <w:szCs w:val="24"/>
        </w:rPr>
        <w:t xml:space="preserve"> Para as elites europeias, a europeização dos judeus promovida pelo movimento sionista apenas poderia acontecer fora da Europa e torna-se possível graças à sua emigração para a Palestina, onde propunham estabelecer uma colónia de inquestionável importância militar, económica e política para diferentes potências imperialistas e suas elites, em diferentes momentos históricos. Herzl sabia que o movimento sionista estava dependente de interesses regionais partilhados com algumas potências –antes a Grã-Bretanha,</w:t>
      </w:r>
      <w:r w:rsidRPr="009E3A67">
        <w:rPr>
          <w:rStyle w:val="Refdenotaderodap"/>
          <w:rFonts w:ascii="Times New Roman" w:hAnsi="Times New Roman" w:cs="Times New Roman"/>
          <w:sz w:val="20"/>
          <w:szCs w:val="20"/>
        </w:rPr>
        <w:t xml:space="preserve"> </w:t>
      </w:r>
      <w:r w:rsidRPr="009E3A67">
        <w:rPr>
          <w:rFonts w:ascii="Times New Roman" w:hAnsi="Times New Roman" w:cs="Times New Roman"/>
          <w:sz w:val="20"/>
          <w:szCs w:val="20"/>
        </w:rPr>
        <w:t xml:space="preserve"> </w:t>
      </w:r>
      <w:r w:rsidRPr="009E3A67">
        <w:rPr>
          <w:rFonts w:ascii="Times New Roman" w:hAnsi="Times New Roman" w:cs="Times New Roman"/>
          <w:sz w:val="24"/>
          <w:szCs w:val="24"/>
        </w:rPr>
        <w:t>hoje os EUA– para sobreviver e se materializar como Estado e para conseguir, pela força, a sua progressiva normalização, apesar de ser um corpo colonial estranho e rejeitado no Médio Oriente. Contudo, a legitimidade de um Estado colonial pensado e concretizado por europeus, assim como das suas ações na região, terão de ser permanentemente justificadas e, para o fazer, sucessivos governos israelitas souberam adaptar a infraestrutura colonial e o seu discurso oficial a contextos políticos em permanente mudança.</w:t>
      </w:r>
    </w:p>
    <w:p w14:paraId="164A0F35" w14:textId="77777777"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Um bom exemplo disso foi o abandono da retórica adotada inicialmente por vários líderes sionistas, que exaltavam a admiração e inspiração nos projetos coloniais levados a cabo por impérios europeus.</w:t>
      </w:r>
      <w:r w:rsidRPr="009E3A67">
        <w:rPr>
          <w:rStyle w:val="Refdenotaderodap"/>
          <w:rFonts w:ascii="Times New Roman" w:hAnsi="Times New Roman" w:cs="Times New Roman"/>
          <w:sz w:val="20"/>
          <w:szCs w:val="20"/>
        </w:rPr>
        <w:footnoteReference w:id="56"/>
      </w:r>
      <w:r w:rsidRPr="009E3A67">
        <w:rPr>
          <w:rFonts w:ascii="Times New Roman" w:hAnsi="Times New Roman" w:cs="Times New Roman"/>
          <w:sz w:val="24"/>
          <w:szCs w:val="24"/>
        </w:rPr>
        <w:t xml:space="preserve"> Essa estratégia adaptou-se a novos contextos e começou a apresentar o projeto colonial sionista como um projeto de libertação nacional,</w:t>
      </w:r>
      <w:r w:rsidRPr="009E3A67">
        <w:rPr>
          <w:rStyle w:val="Refdenotaderodap"/>
          <w:rFonts w:ascii="Times New Roman" w:hAnsi="Times New Roman" w:cs="Times New Roman"/>
          <w:sz w:val="20"/>
          <w:szCs w:val="20"/>
        </w:rPr>
        <w:footnoteReference w:id="57"/>
      </w:r>
      <w:r w:rsidRPr="009E3A67">
        <w:rPr>
          <w:rFonts w:ascii="Times New Roman" w:hAnsi="Times New Roman" w:cs="Times New Roman"/>
          <w:sz w:val="24"/>
          <w:szCs w:val="24"/>
        </w:rPr>
        <w:t xml:space="preserve"> de modo a reconfigurar a sua legitimidade</w:t>
      </w:r>
      <w:r w:rsidRPr="009E3A67">
        <w:rPr>
          <w:rStyle w:val="Refdenotaderodap"/>
          <w:rFonts w:ascii="Times New Roman" w:hAnsi="Times New Roman" w:cs="Times New Roman"/>
          <w:sz w:val="20"/>
          <w:szCs w:val="20"/>
        </w:rPr>
        <w:footnoteReference w:id="58"/>
      </w:r>
      <w:r w:rsidRPr="009E3A67">
        <w:rPr>
          <w:rFonts w:ascii="Times New Roman" w:hAnsi="Times New Roman" w:cs="Times New Roman"/>
          <w:sz w:val="24"/>
          <w:szCs w:val="24"/>
        </w:rPr>
        <w:t xml:space="preserve"> e a expandir o leque de apoios materiais e diplomáticos para a sua consolidação.</w:t>
      </w:r>
      <w:r w:rsidRPr="009E3A67">
        <w:rPr>
          <w:rStyle w:val="Refdenotaderodap"/>
          <w:rFonts w:ascii="Times New Roman" w:hAnsi="Times New Roman" w:cs="Times New Roman"/>
          <w:sz w:val="20"/>
          <w:szCs w:val="20"/>
        </w:rPr>
        <w:footnoteReference w:id="59"/>
      </w:r>
      <w:r w:rsidRPr="009E3A67">
        <w:rPr>
          <w:rFonts w:ascii="Times New Roman" w:hAnsi="Times New Roman" w:cs="Times New Roman"/>
          <w:sz w:val="24"/>
          <w:szCs w:val="24"/>
        </w:rPr>
        <w:t xml:space="preserve"> Por outro lado, esta sempre foi uma narrativa que entrou em profunda contradição com a realidade no terreno e que colheu (e continua a colher) apoios essencialmente no Ocidente. Assim, a legitimidade da empresa colonial sionista na Palestina passou a ser garantida através da exploração de uma narrativa centrada no medo e na ameaça existencial que apresenta Israel quer como corpo inocente, isolado e em risco entre inimigos, quer como único espaço seguro para os judeus, que são alvo de um ódio antissemita supostamente transtemporal e transespacial.</w:t>
      </w:r>
      <w:r w:rsidRPr="009E3A67">
        <w:rPr>
          <w:rStyle w:val="Refdenotaderodap"/>
          <w:rFonts w:ascii="Times New Roman" w:hAnsi="Times New Roman" w:cs="Times New Roman"/>
          <w:sz w:val="20"/>
          <w:szCs w:val="20"/>
        </w:rPr>
        <w:footnoteReference w:id="60"/>
      </w:r>
    </w:p>
    <w:p w14:paraId="32361C27" w14:textId="77777777"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A retórica em torno deste ódio antissemita tem uma história complexa e aparentemente incoerente. Como apresenta Pankaj Mishra (21 mar. 2024), apesar de, logo após o fim da Segunda Guerra Mundial, ser amplamente sabido que o movimento nazi-fascista havia assassinado cerca de seis milhões de judeus, esse fato, por diferentes razões, tinha pouca ressonância intelectual e política, particularmente em Israel, na Europa Ocidental e nos EUA. Em Israel, os sobreviventes do Holocausto eram desprezados como “detritos humanos” cuja fragilidade punha em causa a narrativa “muscular” do Sionismo. David Ben-Gurion afirmava que estes haviam sobrevivido como consequência do seu caráter “mau, áspero e egoísta” e que, fruto das suas experiências não carregavam com eles nada de bom. Na Alemanha vivia-se ainda uma obsessão com o trauma próprio de um país derrotado na guerra e em outros países da Europa Ocidental cultivava-se uma narrativa de resistência que ocultava a colaboração com o regime nazi, recordada pela permanência de cúmplices em posições de poder. Enquanto nos EUA, a entrada de judeus requerentes de asilo era dificultada logo após o fim da Segunda Guerra Mundial.</w:t>
      </w:r>
    </w:p>
    <w:p w14:paraId="60E2CAF9" w14:textId="77777777"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Mishra (21 mar. 2024) relembra que esta realidade começou a mudar apenas com o julgamento de Adolf Eichmann, em 1961, evento mobilizador de uma “catarse nacional” usada por Ben-Gurion para integrar os judeus que chegavam a Israel do Norte de África e do Médio Oriente a uma narrativa nacional de sofrimento partilhado e que ajudou também a ativar, por um lado, uma identidade partilhada com o Estado de Israel no seio das comunidades judaicas estadunidenses e, por outro, um processo de revisionismo histórico que, durante a Guerra Fria, ajudou no processo de incorporação da Alemanha Ocidental (1949-1990) ao campo das democracias liberais “antitotalitárias”, liderado pelos EUA.</w:t>
      </w:r>
      <w:r w:rsidRPr="009E3A67">
        <w:rPr>
          <w:rStyle w:val="Refdenotaderodap"/>
          <w:rFonts w:ascii="Times New Roman" w:hAnsi="Times New Roman" w:cs="Times New Roman"/>
          <w:sz w:val="20"/>
          <w:szCs w:val="20"/>
        </w:rPr>
        <w:footnoteReference w:id="61"/>
      </w:r>
      <w:r w:rsidRPr="009E3A67">
        <w:rPr>
          <w:rFonts w:ascii="Times New Roman" w:hAnsi="Times New Roman" w:cs="Times New Roman"/>
          <w:sz w:val="24"/>
          <w:szCs w:val="24"/>
        </w:rPr>
        <w:t xml:space="preserve"> Nesse processo, o principal Estado responsável pelos crimes cometidos contra os judeus europeus era absolvido em troca de generosas quantias em dinheiro, que serviam como reparações, mas que, em vez de serem atribuídas aos sobreviventes do Holocausto, eram pagas diretamente a Israel. Ou seja, contribuindo diretamente para tornar a colonização da Palestina economicamente sustentável</w:t>
      </w:r>
      <w:r w:rsidRPr="009E3A67">
        <w:rPr>
          <w:rStyle w:val="Refdenotaderodap"/>
          <w:rFonts w:ascii="Times New Roman" w:hAnsi="Times New Roman" w:cs="Times New Roman"/>
          <w:sz w:val="20"/>
          <w:szCs w:val="20"/>
        </w:rPr>
        <w:footnoteReference w:id="62"/>
      </w:r>
      <w:r w:rsidRPr="009E3A67">
        <w:rPr>
          <w:rFonts w:ascii="Times New Roman" w:hAnsi="Times New Roman" w:cs="Times New Roman"/>
          <w:sz w:val="20"/>
          <w:szCs w:val="20"/>
        </w:rPr>
        <w:t xml:space="preserve"> </w:t>
      </w:r>
      <w:r w:rsidRPr="009E3A67">
        <w:rPr>
          <w:rFonts w:ascii="Times New Roman" w:hAnsi="Times New Roman" w:cs="Times New Roman"/>
          <w:sz w:val="24"/>
          <w:szCs w:val="24"/>
        </w:rPr>
        <w:t>e ajudando a vincular os crimes cometidos em nome do Estado alemão como dívida a um outro Estado-nação que, para além de ainda não existir durante a Segunda Guerra Mundial, também não representa(va) todos os judeus, apesar dos seus líderes afirmarem insistentemente o oposto.</w:t>
      </w:r>
    </w:p>
    <w:p w14:paraId="7791A53E" w14:textId="0875ED16"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A referida narrativa, que se constitui em harmonia com a elevação do Holocausto a “religião civil” (TRAVERSO, 2020:87) no Ocidente (e particularmente na Alemanha),</w:t>
      </w:r>
      <w:r w:rsidR="00BC6201">
        <w:rPr>
          <w:rStyle w:val="Refdenotaderodap"/>
          <w:rFonts w:ascii="Times New Roman" w:hAnsi="Times New Roman" w:cs="Times New Roman"/>
          <w:sz w:val="24"/>
          <w:szCs w:val="24"/>
        </w:rPr>
        <w:footnoteReference w:id="63"/>
      </w:r>
      <w:r w:rsidR="00BC6201" w:rsidRPr="009E3A67">
        <w:rPr>
          <w:rFonts w:ascii="Times New Roman" w:hAnsi="Times New Roman" w:cs="Times New Roman"/>
          <w:sz w:val="24"/>
          <w:szCs w:val="24"/>
        </w:rPr>
        <w:t xml:space="preserve"> </w:t>
      </w:r>
      <w:r w:rsidRPr="009E3A67">
        <w:rPr>
          <w:rFonts w:ascii="Times New Roman" w:hAnsi="Times New Roman" w:cs="Times New Roman"/>
          <w:sz w:val="24"/>
          <w:szCs w:val="24"/>
        </w:rPr>
        <w:t xml:space="preserve">tem o seu momento de cristalização, como diz Mishra (21 mar. 2024), em 1967, após a </w:t>
      </w:r>
      <w:r w:rsidRPr="009E3A67">
        <w:rPr>
          <w:rFonts w:ascii="Times New Roman" w:hAnsi="Times New Roman" w:cs="Times New Roman"/>
          <w:i/>
          <w:iCs/>
          <w:sz w:val="24"/>
          <w:szCs w:val="24"/>
        </w:rPr>
        <w:t>Naksa</w:t>
      </w:r>
      <w:r w:rsidRPr="009E3A67">
        <w:rPr>
          <w:rFonts w:ascii="Times New Roman" w:hAnsi="Times New Roman" w:cs="Times New Roman"/>
          <w:sz w:val="24"/>
          <w:szCs w:val="24"/>
        </w:rPr>
        <w:t xml:space="preserve"> –conhecida em Israel como “Guerra dos Seis Dias”–, evento que afirma a supremacia e utilidade militar de Israel na região e o definitivo alinhamento estratégico como parceiro fiável das potências imperialistas do Ocidente e, em 1973, após a Guerra de Outubro –conhecida em Israel como “Guerra do Yom Kippur”, quando, nesse feriado judaico, o Egito e a Síria tentaram recuperar os territórios ocupados em 1967– que expôs a dependência militar de Israel e potenciou a ideia de vulnerabilidade judaica num mundo (e particularmente numa região) projetado como hostil. Assim, a iminente repetição do genocídio contra os judeus começa a fazer-se omnipresente na narrativa de legitimação internacional que, simultaneamente, oculta a relação entre antissemitismo e o projeto de modernidade ocidental e acusa de antissemitismo</w:t>
      </w:r>
      <w:r w:rsidRPr="009E3A67">
        <w:rPr>
          <w:rStyle w:val="Refdenotaderodap"/>
          <w:rFonts w:ascii="Times New Roman" w:hAnsi="Times New Roman" w:cs="Times New Roman"/>
          <w:sz w:val="20"/>
          <w:szCs w:val="20"/>
        </w:rPr>
        <w:footnoteReference w:id="64"/>
      </w:r>
      <w:r w:rsidRPr="009E3A67">
        <w:rPr>
          <w:rFonts w:ascii="Times New Roman" w:hAnsi="Times New Roman" w:cs="Times New Roman"/>
          <w:sz w:val="24"/>
          <w:szCs w:val="24"/>
        </w:rPr>
        <w:t xml:space="preserve"> todos os críticos</w:t>
      </w:r>
      <w:r w:rsidRPr="009E3A67">
        <w:rPr>
          <w:rStyle w:val="Refdenotaderodap"/>
          <w:rFonts w:ascii="Times New Roman" w:hAnsi="Times New Roman" w:cs="Times New Roman"/>
          <w:sz w:val="20"/>
          <w:szCs w:val="20"/>
        </w:rPr>
        <w:footnoteReference w:id="65"/>
      </w:r>
      <w:r w:rsidRPr="009E3A67">
        <w:rPr>
          <w:rFonts w:ascii="Times New Roman" w:hAnsi="Times New Roman" w:cs="Times New Roman"/>
          <w:sz w:val="24"/>
          <w:szCs w:val="24"/>
        </w:rPr>
        <w:t xml:space="preserve"> e opositores</w:t>
      </w:r>
      <w:r w:rsidRPr="009E3A67">
        <w:rPr>
          <w:rStyle w:val="Refdenotaderodap"/>
          <w:rFonts w:ascii="Times New Roman" w:hAnsi="Times New Roman" w:cs="Times New Roman"/>
          <w:sz w:val="20"/>
          <w:szCs w:val="20"/>
        </w:rPr>
        <w:footnoteReference w:id="66"/>
      </w:r>
      <w:r w:rsidRPr="009E3A67">
        <w:rPr>
          <w:rFonts w:ascii="Times New Roman" w:hAnsi="Times New Roman" w:cs="Times New Roman"/>
          <w:sz w:val="24"/>
          <w:szCs w:val="24"/>
        </w:rPr>
        <w:t xml:space="preserve"> do projeto colonial sionista-israelita.</w:t>
      </w:r>
      <w:r w:rsidRPr="009E3A67">
        <w:rPr>
          <w:rStyle w:val="Refdenotaderodap"/>
          <w:rFonts w:ascii="Times New Roman" w:hAnsi="Times New Roman" w:cs="Times New Roman"/>
          <w:sz w:val="20"/>
          <w:szCs w:val="20"/>
        </w:rPr>
        <w:footnoteReference w:id="67"/>
      </w:r>
      <w:r w:rsidRPr="009E3A67">
        <w:rPr>
          <w:rFonts w:ascii="Times New Roman" w:hAnsi="Times New Roman" w:cs="Times New Roman"/>
          <w:sz w:val="24"/>
          <w:szCs w:val="24"/>
        </w:rPr>
        <w:t xml:space="preserve"> Os judeus, como israelitas, começam, então, a ser apresentados como vítimas (sempre em potência) que têm o direito excecional de utilizar quaisquer meios à sua disposição –contra ameaças reais, ou imaginárias– para se defenderem.</w:t>
      </w:r>
    </w:p>
    <w:p w14:paraId="297D4638"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Contrariando a interpretação de Aimé Césaire (1978 [1955]), para quem o Holocausto nazi era a extensão (ou o produto definitivo) de uma lógica imperialista e colonial moderna de genocídio –antes apenas exportada para lá das fronteiras europeias e agora aplicada no interior do continente–, políticos e intelectuais ocidentais, mais do que apontarem este evento como historicamente específico (que é), transformaram-no num evento absolutamente excecional, singular e não passível (mesmo imoral) de ser analisado na sua relação com outros (ou com a longa história colonial europeia). Convergiam assim uma culpa coletiva instrumental e a produção de uma alienação coletiva em relação aos genocídios cometidos pelos mesmos responsáveis noutras geografias</w:t>
      </w:r>
      <w:r w:rsidRPr="009E3A67">
        <w:rPr>
          <w:rStyle w:val="Refdenotaderodap"/>
          <w:rFonts w:ascii="Times New Roman" w:hAnsi="Times New Roman" w:cs="Times New Roman"/>
          <w:sz w:val="20"/>
          <w:szCs w:val="20"/>
        </w:rPr>
        <w:footnoteReference w:id="68"/>
      </w:r>
      <w:r w:rsidRPr="009E3A67">
        <w:rPr>
          <w:rFonts w:ascii="Times New Roman" w:hAnsi="Times New Roman" w:cs="Times New Roman"/>
          <w:sz w:val="24"/>
          <w:szCs w:val="24"/>
        </w:rPr>
        <w:t xml:space="preserve"> –incluindo a utilização da Namíbia, pela Alemanha (MISHRA, 30 jan. 2025),</w:t>
      </w:r>
      <w:r w:rsidRPr="009E3A67">
        <w:rPr>
          <w:rFonts w:ascii="Times New Roman" w:hAnsi="Times New Roman" w:cs="Times New Roman"/>
          <w:sz w:val="20"/>
          <w:szCs w:val="20"/>
        </w:rPr>
        <w:t xml:space="preserve"> </w:t>
      </w:r>
      <w:r w:rsidRPr="009E3A67">
        <w:rPr>
          <w:rFonts w:ascii="Times New Roman" w:hAnsi="Times New Roman" w:cs="Times New Roman"/>
          <w:sz w:val="24"/>
          <w:szCs w:val="24"/>
        </w:rPr>
        <w:t>como laboratório onde eram testados os dispositivos técnicos que possibilitaram o genocídio nazi. O Ocidente das luzes reconhecia, e incorporava na memória coletiva, os seus “excessos pontuais e excecionais” como ato de grandeza moral e como lição para o mundo, enquanto silenciava e continuava a exportar, como neocolonialismo (NKRUMAH, 1966), o seu projeto de genocídio, exploração e desigualdade de modo mais ou menos direto.</w:t>
      </w:r>
    </w:p>
    <w:p w14:paraId="45FB8E36" w14:textId="77777777" w:rsidR="00FF4AC8"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Sob este pano de fundo, no qual os judeus completavam uma trajetória de embranquecimento</w:t>
      </w:r>
      <w:r w:rsidRPr="009E3A67">
        <w:rPr>
          <w:rStyle w:val="Refdenotaderodap"/>
          <w:rFonts w:ascii="Times New Roman" w:hAnsi="Times New Roman" w:cs="Times New Roman"/>
          <w:sz w:val="20"/>
          <w:szCs w:val="20"/>
        </w:rPr>
        <w:footnoteReference w:id="69"/>
      </w:r>
      <w:r w:rsidRPr="009E3A67">
        <w:rPr>
          <w:rFonts w:ascii="Times New Roman" w:hAnsi="Times New Roman" w:cs="Times New Roman"/>
          <w:sz w:val="24"/>
          <w:szCs w:val="24"/>
        </w:rPr>
        <w:t xml:space="preserve"> e sedimentavam a sua relação simbiótica com as narrativas hegemónicas ocidentais</w:t>
      </w:r>
      <w:r w:rsidRPr="009E3A67">
        <w:rPr>
          <w:rStyle w:val="Refdenotaderodap"/>
          <w:rFonts w:ascii="Times New Roman" w:hAnsi="Times New Roman" w:cs="Times New Roman"/>
          <w:sz w:val="20"/>
          <w:szCs w:val="20"/>
        </w:rPr>
        <w:footnoteReference w:id="70"/>
      </w:r>
      <w:r w:rsidRPr="009E3A67">
        <w:rPr>
          <w:rFonts w:ascii="Times New Roman" w:hAnsi="Times New Roman" w:cs="Times New Roman"/>
          <w:sz w:val="24"/>
          <w:szCs w:val="24"/>
        </w:rPr>
        <w:t xml:space="preserve"> –cada vez mais normalizadas como sendo parte de uma “tradição” judaico-cristã, oposta à outra de descendência abraâmica–, Israel afirmou-se como principal e indispensável representante dos interesses imperialistas na região. Isso favorece(u) a imunização nos fóruns internacionais de um Estado que raramente presta ou prestou contas pelos seus atos criminosos. Contudo, a sua legitimidade tem de ser construída através da deslegitimação de qualquer crítica direcionada às “únicas” e “sempre potenciais” vítimas de extermínio e perseguição, num projeto que interpreta e equipara antissionismo e antissemitismo</w:t>
      </w:r>
      <w:r w:rsidRPr="009E3A67">
        <w:rPr>
          <w:rStyle w:val="Refdenotaderodap"/>
          <w:rFonts w:ascii="Times New Roman" w:hAnsi="Times New Roman" w:cs="Times New Roman"/>
          <w:sz w:val="20"/>
          <w:szCs w:val="20"/>
        </w:rPr>
        <w:footnoteReference w:id="71"/>
      </w:r>
      <w:r w:rsidRPr="009E3A67">
        <w:rPr>
          <w:rFonts w:ascii="Times New Roman" w:hAnsi="Times New Roman" w:cs="Times New Roman"/>
          <w:sz w:val="24"/>
          <w:szCs w:val="24"/>
        </w:rPr>
        <w:t xml:space="preserve"> –uma estratégia que não tem como finalidade combater o antissemitismo mas que, pelo contrário,</w:t>
      </w:r>
      <w:r w:rsidRPr="009E3A67">
        <w:rPr>
          <w:rStyle w:val="Refdenotaderodap"/>
          <w:rFonts w:ascii="Times New Roman" w:hAnsi="Times New Roman" w:cs="Times New Roman"/>
          <w:sz w:val="20"/>
          <w:szCs w:val="20"/>
        </w:rPr>
        <w:footnoteReference w:id="72"/>
      </w:r>
      <w:r w:rsidRPr="009E3A67">
        <w:rPr>
          <w:rFonts w:ascii="Times New Roman" w:hAnsi="Times New Roman" w:cs="Times New Roman"/>
          <w:sz w:val="24"/>
          <w:szCs w:val="24"/>
        </w:rPr>
        <w:t xml:space="preserve"> o usa como arma de arremesso político com o intuito de escudar Israel de críticas</w:t>
      </w:r>
      <w:r w:rsidRPr="009E3A67">
        <w:rPr>
          <w:rStyle w:val="Refdenotaderodap"/>
          <w:rFonts w:ascii="Times New Roman" w:hAnsi="Times New Roman" w:cs="Times New Roman"/>
          <w:sz w:val="20"/>
          <w:szCs w:val="20"/>
        </w:rPr>
        <w:footnoteReference w:id="73"/>
      </w:r>
      <w:r w:rsidRPr="009E3A67">
        <w:rPr>
          <w:rFonts w:ascii="Times New Roman" w:hAnsi="Times New Roman" w:cs="Times New Roman"/>
          <w:sz w:val="24"/>
          <w:szCs w:val="24"/>
        </w:rPr>
        <w:t>– e que atesta à perpétua inocência e coerência de quem supostamente atua sob fundamentos morais</w:t>
      </w:r>
      <w:r w:rsidRPr="009E3A67">
        <w:rPr>
          <w:rStyle w:val="Refdenotaderodap"/>
          <w:rFonts w:ascii="Times New Roman" w:hAnsi="Times New Roman" w:cs="Times New Roman"/>
          <w:sz w:val="20"/>
          <w:szCs w:val="20"/>
        </w:rPr>
        <w:footnoteReference w:id="74"/>
      </w:r>
      <w:r w:rsidRPr="009E3A67">
        <w:rPr>
          <w:rFonts w:ascii="Times New Roman" w:hAnsi="Times New Roman" w:cs="Times New Roman"/>
          <w:sz w:val="24"/>
          <w:szCs w:val="24"/>
        </w:rPr>
        <w:t xml:space="preserve"> distintos e inacessíveis a outros, enquanto avança com o projeto de limpeza étnica da Palestina e de genocídio “estrutural” (WOLFE, 2006:403) e “incremental” (PAPPÉ, 13 jul. 2014) dos palestinianos.</w:t>
      </w:r>
      <w:r w:rsidRPr="009E3A67">
        <w:rPr>
          <w:rStyle w:val="Refdenotaderodap"/>
          <w:rFonts w:ascii="Times New Roman" w:hAnsi="Times New Roman" w:cs="Times New Roman"/>
          <w:sz w:val="20"/>
          <w:szCs w:val="20"/>
        </w:rPr>
        <w:footnoteReference w:id="75"/>
      </w:r>
    </w:p>
    <w:p w14:paraId="6B6DE91A" w14:textId="77777777" w:rsidR="00CA5118" w:rsidRPr="009E3A67" w:rsidRDefault="00CA5118" w:rsidP="00CA5118">
      <w:pPr>
        <w:spacing w:after="0" w:line="240" w:lineRule="auto"/>
        <w:jc w:val="both"/>
        <w:rPr>
          <w:rFonts w:ascii="Times New Roman" w:hAnsi="Times New Roman" w:cs="Times New Roman"/>
          <w:sz w:val="24"/>
          <w:szCs w:val="24"/>
        </w:rPr>
      </w:pPr>
    </w:p>
    <w:p w14:paraId="2A98FC83" w14:textId="5CE6D765" w:rsidR="00FF4AC8" w:rsidRDefault="00F04661" w:rsidP="00FF4AC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2.2</w:t>
      </w:r>
      <w:r w:rsidR="00FF4AC8" w:rsidRPr="009E3A67">
        <w:rPr>
          <w:rFonts w:ascii="Times New Roman" w:hAnsi="Times New Roman" w:cs="Times New Roman"/>
          <w:b/>
          <w:bCs/>
          <w:sz w:val="24"/>
          <w:szCs w:val="24"/>
        </w:rPr>
        <w:t xml:space="preserve"> ACOLHIMENTO E INTEGRAÇÃO DOS JUDEUS MIZRAHIM</w:t>
      </w:r>
    </w:p>
    <w:p w14:paraId="6C661A77" w14:textId="77777777" w:rsidR="00CA5118" w:rsidRPr="009E3A67" w:rsidRDefault="00CA5118" w:rsidP="00CA5118">
      <w:pPr>
        <w:spacing w:after="0" w:line="240" w:lineRule="auto"/>
        <w:jc w:val="both"/>
        <w:rPr>
          <w:rFonts w:ascii="Times New Roman" w:hAnsi="Times New Roman" w:cs="Times New Roman"/>
          <w:b/>
          <w:bCs/>
          <w:sz w:val="24"/>
          <w:szCs w:val="24"/>
        </w:rPr>
      </w:pPr>
    </w:p>
    <w:p w14:paraId="4A1BFF69"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subsunção da história judaica como a história dos judeus no espaço-tempo europeu, a incorporação dessa história como estruturante para a identidade coletiva da Europa, em particular, mas também do Ocidente, e a exaltação de Israel como parte desta família de nações, teve como contraponto o nascimento de uma nova dicotomia entre o mundo judaico e o mundo árabe-muçulmano –em continuidade com a “tradição” orientalista europeia (SAID, 2004 [1978]), que ajudou a construir uma identidade continental por oposição ao Islão e a um Oriente imaginado.</w:t>
      </w:r>
    </w:p>
    <w:p w14:paraId="2F224679"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É neste contexto que, depois de suspenso o conflito armado com os seus vizinhos árabes –que durou até 1949– e tendo como finalidade a consolidação de uma infraestrutura colonial (como Estado-nação) assente na eliminação e substituição da sociedade indígena por uma composta por colonos judeus, o movimento sionista teria de recrutar aqueles que seriam a reserva de força de trabalho e militar que a tornariam sustentável. Essa reserva, como afirmou David Ben-Gurion (</w:t>
      </w:r>
      <w:r w:rsidRPr="009E3A67">
        <w:rPr>
          <w:rFonts w:ascii="Times New Roman" w:hAnsi="Times New Roman" w:cs="Times New Roman"/>
          <w:i/>
          <w:iCs/>
          <w:sz w:val="24"/>
          <w:szCs w:val="24"/>
        </w:rPr>
        <w:t xml:space="preserve">apud </w:t>
      </w:r>
      <w:r w:rsidRPr="009E3A67">
        <w:rPr>
          <w:rFonts w:ascii="Times New Roman" w:hAnsi="Times New Roman" w:cs="Times New Roman"/>
          <w:sz w:val="24"/>
          <w:szCs w:val="24"/>
        </w:rPr>
        <w:t>MASSAD, 1996:56), seria, preferencialmente, composta por judeus vindos da Europa –em vigor até hoje, esta política demográfica é, não apenas de judaização, mas também de embranquecimento–, contudo, na sequência do Holocausto, do bloqueio soviético à emigração durante o pós-guerra e da relutância com que muitos judeus viam a mudança para Israel (MASSAD, 24 dez. 2012), o governo teve, a partir de 1948, de se voltar para outras opções.</w:t>
      </w:r>
    </w:p>
    <w:p w14:paraId="50F655F0"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Essa solução, que ajudou a moldar a estrutura política, social e económica de Israel nas décadas subsequentes, foi encontrada no Médio Oriente e no Norte de África, de onde chegaram 647 654 novos colonos, 53% de todos os que entraram no país (1 213 555) entre 1948 e 1964 (GCEI, 5 jul. 2018). O conceito de “substituição” populacional é o mais adequado para compreender de que modo a liderança política sionista olhava para os novos colonos e projetava a sua integração no corpo nacional.</w:t>
      </w:r>
    </w:p>
    <w:p w14:paraId="154BCB0E"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Em primeiro lugar, esta era uma solução que já havia sido testada entre 1910 e 1914, quando Shmuel Yavneli, emissário da </w:t>
      </w:r>
      <w:r w:rsidRPr="009E3A67">
        <w:rPr>
          <w:rFonts w:ascii="Times New Roman" w:hAnsi="Times New Roman" w:cs="Times New Roman"/>
          <w:i/>
          <w:iCs/>
          <w:sz w:val="24"/>
          <w:szCs w:val="24"/>
        </w:rPr>
        <w:t>Alliance Israélite Universelle</w:t>
      </w:r>
      <w:r w:rsidRPr="009E3A67">
        <w:rPr>
          <w:rFonts w:ascii="Times New Roman" w:hAnsi="Times New Roman" w:cs="Times New Roman"/>
          <w:sz w:val="24"/>
          <w:szCs w:val="24"/>
        </w:rPr>
        <w:t>, persuadiu cerca de 2 000 trabalhadores judeus-iemenitas a emigrarem para a Palestina (MASSAD, 1996). Em comparação com os judeus que chegavam da Europa, eles eram vistos, a partir de uma lente orientalista, como “trabalhadores naturais”, capazes de competir com a força de trabalho local pela sua suposta maior disponibilidade física, fácil adaptação ao clima e baixas exigências laborais e salariais –uma realidade que ajudou a preparar a integração socioeconómica daqueles que chegariam depois de 1948 e que ensaiava um argumento de homogeneidade entre as populações “orientais”.</w:t>
      </w:r>
    </w:p>
    <w:p w14:paraId="17B99D06"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Em segundo lugar, o processo de imigração daqueles que viriam a ser chamados de </w:t>
      </w:r>
      <w:r w:rsidRPr="009E3A67">
        <w:rPr>
          <w:rFonts w:ascii="Times New Roman" w:hAnsi="Times New Roman" w:cs="Times New Roman"/>
          <w:i/>
          <w:iCs/>
          <w:sz w:val="24"/>
          <w:szCs w:val="24"/>
        </w:rPr>
        <w:t>mizrahim</w:t>
      </w:r>
      <w:r w:rsidRPr="009E3A67">
        <w:rPr>
          <w:rStyle w:val="Refdenotaderodap"/>
          <w:rFonts w:ascii="Times New Roman" w:hAnsi="Times New Roman" w:cs="Times New Roman"/>
          <w:sz w:val="20"/>
          <w:szCs w:val="20"/>
        </w:rPr>
        <w:footnoteReference w:id="76"/>
      </w:r>
      <w:r w:rsidRPr="009E3A67">
        <w:rPr>
          <w:rFonts w:ascii="Times New Roman" w:hAnsi="Times New Roman" w:cs="Times New Roman"/>
          <w:sz w:val="24"/>
          <w:szCs w:val="24"/>
        </w:rPr>
        <w:t xml:space="preserve"> seria descrito pelos governantes e </w:t>
      </w:r>
      <w:r w:rsidRPr="009E3A67">
        <w:rPr>
          <w:rFonts w:ascii="Times New Roman" w:hAnsi="Times New Roman" w:cs="Times New Roman"/>
          <w:i/>
          <w:iCs/>
          <w:sz w:val="24"/>
          <w:szCs w:val="24"/>
        </w:rPr>
        <w:t>media</w:t>
      </w:r>
      <w:r w:rsidRPr="009E3A67">
        <w:rPr>
          <w:rFonts w:ascii="Times New Roman" w:hAnsi="Times New Roman" w:cs="Times New Roman"/>
          <w:sz w:val="24"/>
          <w:szCs w:val="24"/>
        </w:rPr>
        <w:t xml:space="preserve"> israelitas como um “resgate” (SHOHAT, 1999),</w:t>
      </w:r>
      <w:r w:rsidRPr="009E3A67">
        <w:rPr>
          <w:rFonts w:ascii="Times New Roman" w:hAnsi="Times New Roman" w:cs="Times New Roman"/>
          <w:sz w:val="20"/>
          <w:szCs w:val="20"/>
        </w:rPr>
        <w:t xml:space="preserve"> </w:t>
      </w:r>
      <w:r w:rsidRPr="009E3A67">
        <w:rPr>
          <w:rFonts w:ascii="Times New Roman" w:hAnsi="Times New Roman" w:cs="Times New Roman"/>
          <w:sz w:val="24"/>
          <w:szCs w:val="24"/>
        </w:rPr>
        <w:t xml:space="preserve">termo aplicado de modo literal e metafórico. Como metáfora, o “resgate” significava a incorporação destas comunidades vistas como “pré-históricas” na História da Civilização ocidental, que os sionistas haviam abraçado –eles eram libertados de um passado estanque, como uma das “tribos” perdidas de </w:t>
      </w:r>
      <w:r w:rsidRPr="009E3A67">
        <w:rPr>
          <w:rFonts w:ascii="Times New Roman" w:hAnsi="Times New Roman" w:cs="Times New Roman"/>
          <w:i/>
          <w:iCs/>
          <w:sz w:val="24"/>
          <w:szCs w:val="24"/>
        </w:rPr>
        <w:t>Eretz Yisrael</w:t>
      </w:r>
      <w:r w:rsidRPr="009E3A67">
        <w:rPr>
          <w:rFonts w:ascii="Times New Roman" w:hAnsi="Times New Roman" w:cs="Times New Roman"/>
          <w:sz w:val="24"/>
          <w:szCs w:val="24"/>
        </w:rPr>
        <w:t>.</w:t>
      </w:r>
      <w:r w:rsidRPr="009E3A67">
        <w:rPr>
          <w:rStyle w:val="Refdenotaderodap"/>
          <w:rFonts w:ascii="Times New Roman" w:hAnsi="Times New Roman" w:cs="Times New Roman"/>
          <w:sz w:val="20"/>
          <w:szCs w:val="20"/>
        </w:rPr>
        <w:footnoteReference w:id="77"/>
      </w:r>
      <w:r w:rsidRPr="009E3A67">
        <w:rPr>
          <w:rFonts w:ascii="Times New Roman" w:hAnsi="Times New Roman" w:cs="Times New Roman"/>
          <w:sz w:val="24"/>
          <w:szCs w:val="24"/>
        </w:rPr>
        <w:t xml:space="preserve"> Em termos literais, o Estado apresentava as missões de transporte dos novos colonos para solo israelita como atos de salvação de judeus que, supostamente, eram vítimas e refugiados de regimes déspotas e antissemitas.</w:t>
      </w:r>
      <w:r w:rsidRPr="009E3A67">
        <w:rPr>
          <w:rStyle w:val="Refdenotaderodap"/>
          <w:rFonts w:ascii="Times New Roman" w:hAnsi="Times New Roman" w:cs="Times New Roman"/>
          <w:sz w:val="20"/>
          <w:szCs w:val="20"/>
        </w:rPr>
        <w:footnoteReference w:id="78"/>
      </w:r>
    </w:p>
    <w:p w14:paraId="46C9A6DA"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retórica de proporcionalidade, parte do repertório militarista aplicado por governos israelitas desde 1948, e o revisionismo histórico são então postos em prática na introdução de uma equivalência entre os palestinianos –descritos genericamente como “árabes” pelos líderes sionistas que negavam a sua identidade nacional</w:t>
      </w:r>
      <w:r w:rsidRPr="009E3A67">
        <w:rPr>
          <w:rStyle w:val="Refdenotaderodap"/>
          <w:rFonts w:ascii="Times New Roman" w:hAnsi="Times New Roman" w:cs="Times New Roman"/>
          <w:sz w:val="20"/>
          <w:szCs w:val="20"/>
        </w:rPr>
        <w:footnoteReference w:id="79"/>
      </w:r>
      <w:r w:rsidRPr="009E3A67">
        <w:rPr>
          <w:rFonts w:ascii="Times New Roman" w:hAnsi="Times New Roman" w:cs="Times New Roman"/>
          <w:sz w:val="24"/>
          <w:szCs w:val="24"/>
        </w:rPr>
        <w:t>– que, segundo a falsa narrativa sionista, haviam fugido das suas casas e povoações entre 1947 e 1949 (PAPPÉ, 2007)</w:t>
      </w:r>
      <w:r w:rsidRPr="009E3A67">
        <w:rPr>
          <w:rFonts w:ascii="Times New Roman" w:hAnsi="Times New Roman" w:cs="Times New Roman"/>
          <w:sz w:val="20"/>
          <w:szCs w:val="20"/>
        </w:rPr>
        <w:t xml:space="preserve"> </w:t>
      </w:r>
      <w:r w:rsidRPr="009E3A67">
        <w:rPr>
          <w:rFonts w:ascii="Times New Roman" w:hAnsi="Times New Roman" w:cs="Times New Roman"/>
          <w:sz w:val="24"/>
          <w:szCs w:val="24"/>
        </w:rPr>
        <w:t xml:space="preserve">e 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“resgatados” dos seus países de origem pelo Estado de Israel. Segundo esta linha de argumentação, por um lado, o “direito de retorno” e de compensação dos palestinianos e o seu estatuto de refugiados deveriam ficar vinculados a um reconhecimento desses mesmos direitos aos judeus </w:t>
      </w:r>
      <w:r w:rsidRPr="009E3A67">
        <w:rPr>
          <w:rFonts w:ascii="Times New Roman" w:hAnsi="Times New Roman" w:cs="Times New Roman"/>
          <w:i/>
          <w:iCs/>
          <w:sz w:val="24"/>
          <w:szCs w:val="24"/>
        </w:rPr>
        <w:t xml:space="preserve">mizrahim </w:t>
      </w:r>
      <w:r w:rsidRPr="009E3A67">
        <w:rPr>
          <w:rFonts w:ascii="Times New Roman" w:hAnsi="Times New Roman" w:cs="Times New Roman"/>
          <w:sz w:val="24"/>
          <w:szCs w:val="24"/>
        </w:rPr>
        <w:t>(SHENHAV, 15 ago. 2003) e, por outro, a retórica do “resgate” servia como mecanismo de legitimação do primeiro argumento, já que era apresentado como uma “troca populacional” entre Israel e os seus vizinhos árabes, onde cada Estado havia cumprido a obrigação de receber os “seus”.</w:t>
      </w:r>
      <w:r w:rsidRPr="009E3A67">
        <w:rPr>
          <w:rStyle w:val="Refdenotaderodap"/>
          <w:rFonts w:ascii="Times New Roman" w:hAnsi="Times New Roman" w:cs="Times New Roman"/>
          <w:sz w:val="20"/>
          <w:szCs w:val="20"/>
        </w:rPr>
        <w:footnoteReference w:id="80"/>
      </w:r>
    </w:p>
    <w:p w14:paraId="4112D176"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Apesar desta narrativa entrar em contradição com outras, que apresentavam a chegada destes novos colonos como voluntária e motivada pelo seu fervoroso messianismo sionista, ela é apenas uma de entre muitas incoerências no discurso oficial de Israel. São também essas incoerências que permitem fazer uso de vários mecanismos retóricos em simultâneo para justificar a colonização violenta em curso e negar o “direito de retorno” aos palestinianos, ao mesmo tempo que é subscrito o cumprimento de tratados e convenções internacionais que dizem respeito ao direito humanitário.</w:t>
      </w:r>
    </w:p>
    <w:p w14:paraId="09FA74A9" w14:textId="77777777" w:rsidR="00FF4AC8" w:rsidRDefault="00FF4AC8" w:rsidP="00FF4AC8">
      <w:pPr>
        <w:spacing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Nesse sentido, a origem geográfica das comunidades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foi instrumental em termos retóricos e materiais e serviu na perfeição os interesses das elites sionistas e o seu projeto de consolidação nacional e colonial. Ela era um “ativo” para, por um lado, legitimarem os discursos de “troca” populacional como negação dos direitos dos palestinianos e de Israel como salvador e único “porto seguro” para as diferentes comunidades judaicas espalhadas pelo mundo. Por outro, a projeção dos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como “pré-modernos”, e com caraterísticas semelhantes às do inimigo “árabe”, servia para ocultar que o Estado precisava mais deles do que eles do Estado e para justificar um processo de integração marcado pela exploração económica e pela exclusão social e política, mas apresentado como necessário para a sua “modernização” e “sionização”.</w:t>
      </w:r>
    </w:p>
    <w:p w14:paraId="02C358C7" w14:textId="77777777" w:rsidR="00CA5118" w:rsidRPr="009E3A67" w:rsidRDefault="00CA5118" w:rsidP="00CA5118">
      <w:pPr>
        <w:spacing w:after="0" w:line="240" w:lineRule="auto"/>
        <w:jc w:val="both"/>
        <w:rPr>
          <w:rFonts w:ascii="Times New Roman" w:hAnsi="Times New Roman" w:cs="Times New Roman"/>
          <w:sz w:val="24"/>
          <w:szCs w:val="24"/>
        </w:rPr>
      </w:pPr>
    </w:p>
    <w:p w14:paraId="685A343C" w14:textId="1F736122" w:rsidR="00FF4AC8" w:rsidRDefault="00FF4AC8" w:rsidP="00FF4AC8">
      <w:pPr>
        <w:spacing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 xml:space="preserve">[A] responsabilidade para com os palestinianos não é nossa, é dos árabes. Nós, em Israel, absorvemos cerca de um milhão e quatrocentos mil judeus árabes, do Iraque, do Iémen, do Egipto, da Síria, e dos países norte-africanos, como Marrocos. Gente que ao chegar estava minada de doenças e não sabia fazer nada. […] No entanto demos-lhes guarida, construímos hospitais para eles e curámo-los, educámo-los, metemo-los em casas limpas e transformámo-los em agricultores, médicos, engenheiros, professores… (Golda Meir </w:t>
      </w:r>
      <w:r w:rsidRPr="009E3A67">
        <w:rPr>
          <w:rFonts w:ascii="Times New Roman" w:hAnsi="Times New Roman" w:cs="Times New Roman"/>
          <w:i/>
          <w:iCs/>
          <w:sz w:val="20"/>
          <w:szCs w:val="20"/>
        </w:rPr>
        <w:t xml:space="preserve">apud </w:t>
      </w:r>
      <w:r w:rsidRPr="009E3A67">
        <w:rPr>
          <w:rFonts w:ascii="Times New Roman" w:hAnsi="Times New Roman" w:cs="Times New Roman"/>
          <w:sz w:val="20"/>
          <w:szCs w:val="20"/>
        </w:rPr>
        <w:t>FALLACI, 1975:140)</w:t>
      </w:r>
      <w:r w:rsidR="00CA5118">
        <w:rPr>
          <w:rFonts w:ascii="Times New Roman" w:hAnsi="Times New Roman" w:cs="Times New Roman"/>
          <w:sz w:val="20"/>
          <w:szCs w:val="20"/>
        </w:rPr>
        <w:t>.</w:t>
      </w:r>
    </w:p>
    <w:p w14:paraId="54EAF3D3" w14:textId="77777777" w:rsidR="00CA5118" w:rsidRPr="009E3A67" w:rsidRDefault="00CA5118" w:rsidP="00CA5118">
      <w:pPr>
        <w:spacing w:after="0" w:line="240" w:lineRule="auto"/>
        <w:ind w:left="2268"/>
        <w:jc w:val="both"/>
        <w:rPr>
          <w:rFonts w:ascii="Times New Roman" w:hAnsi="Times New Roman" w:cs="Times New Roman"/>
          <w:sz w:val="20"/>
          <w:szCs w:val="20"/>
        </w:rPr>
      </w:pPr>
    </w:p>
    <w:p w14:paraId="6792CE84"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Nesta entrevista, concedida a Oriana Fallaci nos anos de 1970, Golda Meir resume bem a posição oficial em relação à responsabilidade que o Estado de Israel teve e tem sobre o destino dos palestinianos, mas, sobretudo, como os governantes israelitas apresentavam o processo de acolhimento e integração dos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A “cura”, descrita pela então Primeira-ministra, seria interpretada de modo literal, já que, como testemunhou Avi Shlaim (2023), estas pessoas foram pulverizadas com DDT (um pesticida) mal aterraram em solo israelita. A este ato de desumanização sucederam-se outros que, essencialmente, transformavam um grupo complexo de seres humanos numa “massa” homogénea e infantil que precisava de ser educada para, como afirmou Abba Eban (Ministro dos Negócios Estrangeiros de Meir), não arrastar toda a sociedade israelita rumo a um abismo de corrupção oriental (</w:t>
      </w:r>
      <w:r w:rsidRPr="009E3A67">
        <w:rPr>
          <w:rFonts w:ascii="Times New Roman" w:hAnsi="Times New Roman" w:cs="Times New Roman"/>
          <w:i/>
          <w:iCs/>
          <w:sz w:val="24"/>
          <w:szCs w:val="24"/>
        </w:rPr>
        <w:t xml:space="preserve">apud </w:t>
      </w:r>
      <w:r w:rsidRPr="009E3A67">
        <w:rPr>
          <w:rFonts w:ascii="Times New Roman" w:hAnsi="Times New Roman" w:cs="Times New Roman"/>
          <w:sz w:val="24"/>
          <w:szCs w:val="24"/>
        </w:rPr>
        <w:t>KONRAD, 1 dez. 2015).</w:t>
      </w:r>
    </w:p>
    <w:p w14:paraId="06098D4D"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Em termos simbólicos, a pluralidade destas comunidades, que haviam chegado de diferentes partes do Norte de África e do Médio Oriente –falavam diferentes idiomas, tinham entre elas e dentro de uma mesma comunidade diferentes experiências, práticas quotidianas, condições de vida, qualificações, relações com o judaísmo e lealdades políticas– era ignorada. O processo de “sionização” era um de desenraizamento e ressocialização que, em primeiro lugar, as amalgamava como grupo homogéneo cujas características “levantinas” teriam de ser eliminadas dentro de um “caldeirão cultural”</w:t>
      </w:r>
      <w:r w:rsidRPr="009E3A67">
        <w:rPr>
          <w:rStyle w:val="Refdenotaderodap"/>
          <w:rFonts w:ascii="Times New Roman" w:hAnsi="Times New Roman" w:cs="Times New Roman"/>
          <w:sz w:val="18"/>
          <w:szCs w:val="18"/>
        </w:rPr>
        <w:footnoteReference w:id="81"/>
      </w:r>
      <w:r w:rsidRPr="009E3A67">
        <w:rPr>
          <w:rFonts w:ascii="Times New Roman" w:hAnsi="Times New Roman" w:cs="Times New Roman"/>
          <w:sz w:val="18"/>
          <w:szCs w:val="18"/>
        </w:rPr>
        <w:t xml:space="preserve"> </w:t>
      </w:r>
      <w:r w:rsidRPr="009E3A67">
        <w:rPr>
          <w:rFonts w:ascii="Times New Roman" w:hAnsi="Times New Roman" w:cs="Times New Roman"/>
          <w:sz w:val="24"/>
          <w:szCs w:val="24"/>
        </w:rPr>
        <w:t xml:space="preserve">israelita (SHOHAT, 1999) cujo centro e referência era a “cultura” daqueles que haviam fundado o Estado (judeus </w:t>
      </w:r>
      <w:r w:rsidRPr="009E3A67">
        <w:rPr>
          <w:rFonts w:ascii="Times New Roman" w:hAnsi="Times New Roman" w:cs="Times New Roman"/>
          <w:i/>
          <w:iCs/>
          <w:sz w:val="24"/>
          <w:szCs w:val="24"/>
        </w:rPr>
        <w:t>ashkenazim</w:t>
      </w:r>
      <w:r w:rsidRPr="009E3A67">
        <w:rPr>
          <w:rFonts w:ascii="Times New Roman" w:hAnsi="Times New Roman" w:cs="Times New Roman"/>
          <w:sz w:val="24"/>
          <w:szCs w:val="24"/>
        </w:rPr>
        <w:t>) e lançado as bases da sociedade de colonos –este modelo de assimilação promovia uma aproximação a essa referência europeia, algo que incluía diferentes dimensões da vida, que iam desde o sotaque “correto” com que se deviam expressar em hebraico, aos símbolos que deviam valorizar na cultura nacional, ao tipo de estrutura familiar que era considerada respeitável, etc.</w:t>
      </w:r>
    </w:p>
    <w:p w14:paraId="377E734D"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Em termos materiais, este processo foi levado a cabo em diferentes instituições –como o exército,</w:t>
      </w:r>
      <w:r w:rsidRPr="009E3A67">
        <w:rPr>
          <w:rStyle w:val="Refdenotaderodap"/>
          <w:rFonts w:ascii="Times New Roman" w:hAnsi="Times New Roman" w:cs="Times New Roman"/>
          <w:sz w:val="20"/>
          <w:szCs w:val="20"/>
        </w:rPr>
        <w:footnoteReference w:id="82"/>
      </w:r>
      <w:r w:rsidRPr="009E3A67">
        <w:rPr>
          <w:rFonts w:ascii="Times New Roman" w:hAnsi="Times New Roman" w:cs="Times New Roman"/>
          <w:sz w:val="24"/>
          <w:szCs w:val="24"/>
        </w:rPr>
        <w:t xml:space="preserve"> principal instituição de socialização dentro de um espaço público totalmente militarizado e a escola, lugar de doutrinação da perspetiva histórica e política sionista, que ignorava ou silenciava as experiências e práticas destas comunidades– mas, sobretudo, a partir do modo como o Estado espacializou e temporalizou a sua integração –como cisão das suas identidades coletivas e em relação aos lugares e culturas de origem. Ao mesmo tempo que a retórica sobre a qual assentou o estabelecimento de Israel –que descrevia a Palestina como território ancestral dos judeus, os palestinianos como invasores “árabes” sem identidade nacional e a nova sociedade de colonos como uma mobilizada pelo poder proletário judaico– servia para ocultar um processo de acumulação originária, outra, que descrevia 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como potencialmente desleais, pela sua proximidade “cultural” com o inimigo e como “fardo” a ser carregado pelo Estado, serviu para ocultar uma hierarquia entre explorados e exploradores que se começava a desenhar (BERNSTEIN e SWIRSKI, 1982). Foi ela que permitiu a ascensão social de vários estratos da população </w:t>
      </w:r>
      <w:r w:rsidRPr="009E3A67">
        <w:rPr>
          <w:rFonts w:ascii="Times New Roman" w:hAnsi="Times New Roman" w:cs="Times New Roman"/>
          <w:i/>
          <w:iCs/>
          <w:sz w:val="24"/>
          <w:szCs w:val="24"/>
        </w:rPr>
        <w:t>ashkenazim</w:t>
      </w:r>
      <w:r w:rsidRPr="009E3A67">
        <w:rPr>
          <w:rFonts w:ascii="Times New Roman" w:hAnsi="Times New Roman" w:cs="Times New Roman"/>
          <w:sz w:val="24"/>
          <w:szCs w:val="24"/>
        </w:rPr>
        <w:t>, principalmente daquela que havia chegado a Israel alguns anos ou décadas antes do seu estabelecimento.</w:t>
      </w:r>
    </w:p>
    <w:p w14:paraId="091A30E2"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Como conta Ella Shohat (1997), para que o seu “caráter levantino” ficasse para trás, um sistema de total dependência começou a ser construído com a dispersão das comunidades, a separação de famílias e a humilhação de líderes comunitários. Ao contrário de outros colonos, europeus, que também haviam chegado após a fundação do Estado, 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não podiam escolher para onde ir e eram frequentemente colocados em regiões fronteiriças e remotas, de tensão bélica com os exércitos dos países vizinhos, de modo a servirem como primeira linha de defesa e a povoarem zonas deixadas vazias após a expulsão dos palestinianos.</w:t>
      </w:r>
      <w:r w:rsidRPr="009E3A67">
        <w:rPr>
          <w:rStyle w:val="Refdenotaderodap"/>
          <w:rFonts w:ascii="Times New Roman" w:hAnsi="Times New Roman" w:cs="Times New Roman"/>
          <w:sz w:val="20"/>
          <w:szCs w:val="20"/>
        </w:rPr>
        <w:t xml:space="preserve"> </w:t>
      </w:r>
      <w:r w:rsidRPr="009E3A67">
        <w:rPr>
          <w:rStyle w:val="Refdenotaderodap"/>
          <w:rFonts w:ascii="Times New Roman" w:hAnsi="Times New Roman" w:cs="Times New Roman"/>
          <w:sz w:val="20"/>
          <w:szCs w:val="20"/>
        </w:rPr>
        <w:footnoteReference w:id="83"/>
      </w:r>
      <w:r w:rsidRPr="009E3A67">
        <w:rPr>
          <w:rFonts w:ascii="Times New Roman" w:hAnsi="Times New Roman" w:cs="Times New Roman"/>
          <w:sz w:val="24"/>
          <w:szCs w:val="24"/>
        </w:rPr>
        <w:t xml:space="preserve"> Os três principais espaços para onde foram levados eram conhecidos como: </w:t>
      </w:r>
      <w:r w:rsidRPr="009E3A67">
        <w:rPr>
          <w:rFonts w:ascii="Times New Roman" w:hAnsi="Times New Roman" w:cs="Times New Roman"/>
          <w:i/>
          <w:iCs/>
          <w:sz w:val="24"/>
          <w:szCs w:val="24"/>
        </w:rPr>
        <w:t>ma’abarot</w:t>
      </w:r>
      <w:r w:rsidRPr="009E3A67">
        <w:rPr>
          <w:rFonts w:ascii="Times New Roman" w:hAnsi="Times New Roman" w:cs="Times New Roman"/>
          <w:sz w:val="24"/>
          <w:szCs w:val="24"/>
        </w:rPr>
        <w:t xml:space="preserve">, campos de acolhimento temporário que, para alguns, se transformaram em soluções permanentes por décadas; </w:t>
      </w:r>
      <w:r w:rsidRPr="009E3A67">
        <w:rPr>
          <w:rFonts w:ascii="Times New Roman" w:hAnsi="Times New Roman" w:cs="Times New Roman"/>
          <w:i/>
          <w:iCs/>
          <w:sz w:val="24"/>
          <w:szCs w:val="24"/>
        </w:rPr>
        <w:t>moshavim</w:t>
      </w:r>
      <w:r w:rsidRPr="009E3A67">
        <w:rPr>
          <w:rFonts w:ascii="Times New Roman" w:hAnsi="Times New Roman" w:cs="Times New Roman"/>
          <w:sz w:val="24"/>
          <w:szCs w:val="24"/>
        </w:rPr>
        <w:t xml:space="preserve">, colonatos agrícolas de economia semi-partilhada localizados nas regiões (interior e sul) menos férteis do território; e </w:t>
      </w:r>
      <w:r w:rsidRPr="009E3A67">
        <w:rPr>
          <w:rFonts w:ascii="Times New Roman" w:hAnsi="Times New Roman" w:cs="Times New Roman"/>
          <w:i/>
          <w:iCs/>
          <w:sz w:val="24"/>
          <w:szCs w:val="24"/>
        </w:rPr>
        <w:t>development towns</w:t>
      </w:r>
      <w:r w:rsidRPr="009E3A67">
        <w:rPr>
          <w:rFonts w:ascii="Times New Roman" w:hAnsi="Times New Roman" w:cs="Times New Roman"/>
          <w:sz w:val="24"/>
          <w:szCs w:val="24"/>
        </w:rPr>
        <w:t>, novas cidades que faziam parte de cinturões industriais, onde mão-de-obra barata era recrutada.</w:t>
      </w:r>
    </w:p>
    <w:p w14:paraId="4CD214C2"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Os </w:t>
      </w:r>
      <w:r w:rsidRPr="009E3A67">
        <w:rPr>
          <w:rFonts w:ascii="Times New Roman" w:hAnsi="Times New Roman" w:cs="Times New Roman"/>
          <w:i/>
          <w:iCs/>
          <w:sz w:val="24"/>
          <w:szCs w:val="24"/>
        </w:rPr>
        <w:t>ma’abarot</w:t>
      </w:r>
      <w:r w:rsidRPr="009E3A67">
        <w:rPr>
          <w:rFonts w:ascii="Times New Roman" w:hAnsi="Times New Roman" w:cs="Times New Roman"/>
          <w:sz w:val="24"/>
          <w:szCs w:val="24"/>
        </w:rPr>
        <w:t xml:space="preserve"> expunham de forma brutal as condições de vida (em suspenso) destas comunidades. Deborah Bernstein (1981) conta que, aqui, as habitações eram compostas por tendas de tecido e barracas de chapa e a vida era altamente precária pela escassez de instalações sanitárias ou de qualquer tipo de infraestrutura (quase não havia acesso a água potável, os esgotos corriam a céu aberto, não existiam estradas, hospitais, escolas, etc.). Um fator determinante era o isolamento destes espaços, muitas vezes encerrados por arame farpado (SHLAIM, 2023) e aonde o contato com o exterior era sempre mediado pelos representantes da administração central que os geriam. Era através dessa mediação que se podia aceder a habitação, a subsídios e ao mercado de trabalho –altamente precário, com oportunidades limitadas, geralmente temporárias e em funções que quase nunca correspondiam à formação de cada pessoa. Da mesma forma, os administradores mediavam o contato com a esfera política, limitando qualquer participação ou organização autónoma das comunidades. Apesar de tudo isto, elas eram responsabilizadas pelas suas condições de vida, uma ferramenta útil para justificar e perpetuar a sua exploração como condição indispensável para o desenvolvimento da embrionária economia nacional-colonial.</w:t>
      </w:r>
    </w:p>
    <w:p w14:paraId="32733B55"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Este foi um processo de exploração pela via da racialização de um grupo particular de colonos, o que permite ler –desde as categorias desenhadas durante esse processo– a mobilização de diferentes recursos que sustentam este contexto colonial de povoamento, mas também o seu caráter sistêmico. Como refere Max Ajl (2023), a leitura das dinâmicas económicas, sociais e políticas em sociedades coloniais não deve autonomizar as questões ontoepistemológicas que se desenvolvem em torno da racialização como desumanização. Quando se subsume a questão colonial à questão racial e se ignora a base material que produz modos de racialização que, por sua vez, a justificam e reproduzem, corre-se também o risco de subalternizar a importância do acesso à terra como fator determinante para a sustentabilidade do (e apoio ao) projeto colonial. Ao fazê-lo projetam-se realidades imaginadas, como quando é afirmado que o apoio incondicional dado a Israel pelos seus aliados é prejudicial aos próprios interesses desses países, algo que seria supostamente contornável apenas fruto de </w:t>
      </w:r>
      <w:r w:rsidRPr="009E3A67">
        <w:rPr>
          <w:rFonts w:ascii="Times New Roman" w:hAnsi="Times New Roman" w:cs="Times New Roman"/>
          <w:i/>
          <w:iCs/>
          <w:sz w:val="24"/>
          <w:szCs w:val="24"/>
        </w:rPr>
        <w:t xml:space="preserve">lobbying </w:t>
      </w:r>
      <w:r w:rsidRPr="009E3A67">
        <w:rPr>
          <w:rFonts w:ascii="Times New Roman" w:hAnsi="Times New Roman" w:cs="Times New Roman"/>
          <w:sz w:val="24"/>
          <w:szCs w:val="24"/>
        </w:rPr>
        <w:t>e que ignora o papel desempenhado pelo Sionismo dentro do projeto imperialista (antes liderado pelas potências europeias e hoje) liderado pelos EUA. Ao garantirem e sustentarem (sempre com apoio externo) o acesso à terra através de uma violência fundadora, os colonos, parte de uma sociedade totalmente militarizada, foram e são os aliados indispensáveis para quem tem como objetivo impedir qualquer projeto de soberania popular na região, como via aberta para o seu controlo e para a extração de mais-valia e de recursos.</w:t>
      </w:r>
    </w:p>
    <w:p w14:paraId="09B7F217" w14:textId="77777777" w:rsidR="00FF4AC8" w:rsidRPr="009E3A67" w:rsidRDefault="00FF4AC8" w:rsidP="00FF4AC8">
      <w:pPr>
        <w:spacing w:after="0" w:line="360" w:lineRule="auto"/>
        <w:ind w:firstLine="708"/>
        <w:jc w:val="both"/>
        <w:rPr>
          <w:rFonts w:ascii="Times New Roman" w:hAnsi="Times New Roman" w:cs="Times New Roman"/>
          <w:sz w:val="24"/>
          <w:szCs w:val="24"/>
        </w:rPr>
      </w:pPr>
      <w:r w:rsidRPr="009E3A67">
        <w:rPr>
          <w:rFonts w:ascii="Times New Roman" w:hAnsi="Times New Roman" w:cs="Times New Roman"/>
          <w:sz w:val="24"/>
          <w:szCs w:val="24"/>
        </w:rPr>
        <w:t>Por outro lado, a dicotomia entre indígena e colono apresentada como estruturante por Wolfe (2006) é, sem dúvida, fundamental para compreender estes contextos, contudo, se nos detemos nela não conseguimos compreender, por um lado, a diversidade e as contradições dentro do próprio projeto de autodeterminação –por exemplo, entre aqueles que, a partir de baixo, propõem e praticam a libertação como projeto de soberania popular, de desmantelamento total do projeto colonial e como retorno e os que promovem um projeto de cooperação com o colonizador em troca de reconhecimento e de autonomia limitada sobre algumas partes do território da Palestina histórica– e, por outro, como são mobilizados projetos de racialização que não assentam simplesmente numa dicotomia, mas operam de modo “fractal” (MOUSSAWI, 2013). Estes projetos produzem diferentes tipos de racialização a diferentes escalas, permitindo aprofundar, progressivamente, tanto a fragmentação das sociedades indígenas (a partir de marcadores de sexualidade, gênero, religião, geografia, etc,) como estruturar as sociedades de colonos em torno de hierarquias próprias que têm como objetivo potenciar o projeto colonial.</w:t>
      </w:r>
    </w:p>
    <w:p w14:paraId="70CF1765"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Das várias questões aqui lançadas, e porque saem do âmbito deste trabalho, vou-me focar apenas na última. O caso dos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permite olhar para a relação-tensão entre os processos de racialização e colonização –como necessariamente interdependentes, mas diferentes– a partir de vários vetores. Este grupo de colonos foi acolhido e integrado a partir de uma estratégia assente num processo de racialização bastante particular, já que eles eram representados como “orientais” que partilhavam uma “cultura” com o inimigo “árabe”,</w:t>
      </w:r>
      <w:r w:rsidRPr="009E3A67">
        <w:rPr>
          <w:rFonts w:ascii="Times New Roman" w:hAnsi="Times New Roman" w:cs="Times New Roman"/>
          <w:sz w:val="20"/>
          <w:szCs w:val="20"/>
        </w:rPr>
        <w:t xml:space="preserve"> </w:t>
      </w:r>
      <w:r w:rsidRPr="009E3A67">
        <w:rPr>
          <w:rFonts w:ascii="Times New Roman" w:hAnsi="Times New Roman" w:cs="Times New Roman"/>
          <w:sz w:val="24"/>
          <w:szCs w:val="24"/>
        </w:rPr>
        <w:t xml:space="preserve">ao contrário de outros, como, por exemplo, os judeus de origem etíope, também racializados, explorados e integrados sob condições impostas pelas mesmas elites de origem europeia. A particularidade da posição ocupada pelos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permitiu desenvolver uma retórica que abria espaços para, por um lado, disputar em fóruns internacionais o “direito de retorno” dos palestinianos e, por outro, ressocializar estas comunidades a partir de um processo que dependia da sua exploração material como proletarização. Enquanto isso, uma dicotomia entre Ocidente e Oriente era aprofundada a partir dos seus corpos, que deixariam de narrar uma coexistência entre vários mundos que se haviam contaminado de forma mútua</w:t>
      </w:r>
      <w:r w:rsidRPr="009E3A67">
        <w:rPr>
          <w:rStyle w:val="Refdenotaderodap"/>
          <w:rFonts w:ascii="Times New Roman" w:hAnsi="Times New Roman" w:cs="Times New Roman"/>
          <w:sz w:val="20"/>
          <w:szCs w:val="20"/>
        </w:rPr>
        <w:footnoteReference w:id="84"/>
      </w:r>
      <w:r w:rsidRPr="009E3A67">
        <w:rPr>
          <w:rFonts w:ascii="Times New Roman" w:hAnsi="Times New Roman" w:cs="Times New Roman"/>
          <w:sz w:val="24"/>
          <w:szCs w:val="24"/>
        </w:rPr>
        <w:t xml:space="preserve"> e passariam a exprimir-se a partir da linguagem do ressentimento.</w:t>
      </w:r>
      <w:r w:rsidRPr="009E3A67">
        <w:rPr>
          <w:rStyle w:val="Refdenotaderodap"/>
          <w:rFonts w:ascii="Times New Roman" w:hAnsi="Times New Roman" w:cs="Times New Roman"/>
          <w:sz w:val="20"/>
          <w:szCs w:val="20"/>
        </w:rPr>
        <w:footnoteReference w:id="85"/>
      </w:r>
    </w:p>
    <w:p w14:paraId="53C182FD"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Por último, e apesar do lugar que ocupavam dentro da hierarquia racial e económica israelita, a sua integração (como assimilação) nunca constituiu uma impossibilidade. 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xml:space="preserve"> sempre ocuparam uma posição de poder-Ser sob determinadas condições nunca por si determinadas. Essas condições eram aquelas vistas como necessárias para aprofundar e consolidar um projeto colonial pensado antes da sua chegada, ou seja, eles eram parte integrante da sociedade de colonos desde o momento em que aterraram em Israel ou mesmo antes disso, como judeus. Foi também uma aspiração de igualdade e ascensão social, construída em cima do antagonismo em relação ao inimigo “árabe” e, particularmente, “palestiniano” que garantiu o “sucesso” –do ponto de vista do Estado– da sua integração como partilha afetiva de uma linguagem colonial com os outros colonos, independentemente da sua origem.</w:t>
      </w:r>
    </w:p>
    <w:p w14:paraId="41CB0325" w14:textId="77777777" w:rsidR="00FF4AC8" w:rsidRDefault="00FF4AC8" w:rsidP="00B70754">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supremacia judaica como elemento estruturante do projeto sionista relega, sempre, para o lugar do não-Ser, ou mesmo do nunca-poder-Ser, apenas os palestinianos. Supremacia significa Israel como lugar de exclusividade judaica, onde a partilha de uma originalidade se torna impossível. A partir desta leitura, os palestinianos põem em causa o próprio projeto sionista pela sua condição como indígenas, que perturbam a na(rra)ção colonial. Ela adensa-se com o passar do tempo e Israel, como Estado de exclusividade judaica, nunca o será ao incorporar os palestinianos como iguais, mas também deixará de o ser se eles não existirem, como corpos necessários para a unidade e coesão em torno da figura do inimigo (como “bode expiatório”), sempre presente para justificar todos os problemas e desviar atenções dos conflitos intracomunitários, mas também como alteridade que permite definir negativamente uma identidade coletiva –somos o que (e porque) eles não-são.</w:t>
      </w:r>
    </w:p>
    <w:p w14:paraId="55EE5B24" w14:textId="77777777" w:rsidR="00B70754" w:rsidRPr="009E3A67" w:rsidRDefault="00B70754" w:rsidP="00B70754">
      <w:pPr>
        <w:spacing w:after="0" w:line="240" w:lineRule="auto"/>
        <w:jc w:val="both"/>
        <w:rPr>
          <w:rFonts w:ascii="Times New Roman" w:hAnsi="Times New Roman" w:cs="Times New Roman"/>
          <w:sz w:val="24"/>
          <w:szCs w:val="24"/>
        </w:rPr>
      </w:pPr>
    </w:p>
    <w:p w14:paraId="2444771D" w14:textId="63F81F34" w:rsidR="00FF4AC8" w:rsidRDefault="00F04661" w:rsidP="00B7075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FF4AC8" w:rsidRPr="009E3A67">
        <w:rPr>
          <w:rFonts w:ascii="Times New Roman" w:hAnsi="Times New Roman" w:cs="Times New Roman"/>
          <w:b/>
          <w:bCs/>
          <w:sz w:val="24"/>
          <w:szCs w:val="24"/>
        </w:rPr>
        <w:t>. NOTAS CONCLUSIVAS: “DA LAMA AO CAOS, DO CAOS À LAMA”</w:t>
      </w:r>
    </w:p>
    <w:p w14:paraId="2FF0E05E" w14:textId="77777777" w:rsidR="00CA5118" w:rsidRDefault="00CA5118" w:rsidP="00CA5118">
      <w:pPr>
        <w:spacing w:after="0" w:line="240" w:lineRule="auto"/>
        <w:jc w:val="both"/>
        <w:rPr>
          <w:rFonts w:ascii="Times New Roman" w:hAnsi="Times New Roman" w:cs="Times New Roman"/>
          <w:b/>
          <w:bCs/>
          <w:sz w:val="24"/>
          <w:szCs w:val="24"/>
        </w:rPr>
      </w:pPr>
    </w:p>
    <w:p w14:paraId="719A50C0" w14:textId="77777777" w:rsidR="00FF4AC8" w:rsidRPr="009E3A67" w:rsidRDefault="00FF4AC8" w:rsidP="00B70754">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Chico Science &amp; Nação Zumbi (1994), na letra da música </w:t>
      </w:r>
      <w:r w:rsidRPr="009E3A67">
        <w:rPr>
          <w:rFonts w:ascii="Times New Roman" w:hAnsi="Times New Roman" w:cs="Times New Roman"/>
          <w:i/>
          <w:iCs/>
          <w:sz w:val="24"/>
          <w:szCs w:val="24"/>
        </w:rPr>
        <w:t>Da Lama ao Caos</w:t>
      </w:r>
      <w:r w:rsidRPr="009E3A67">
        <w:rPr>
          <w:rFonts w:ascii="Times New Roman" w:hAnsi="Times New Roman" w:cs="Times New Roman"/>
          <w:sz w:val="24"/>
          <w:szCs w:val="24"/>
        </w:rPr>
        <w:t>,</w:t>
      </w:r>
      <w:r w:rsidRPr="009E3A67">
        <w:rPr>
          <w:rFonts w:ascii="Times New Roman" w:hAnsi="Times New Roman" w:cs="Times New Roman"/>
          <w:sz w:val="20"/>
          <w:szCs w:val="20"/>
        </w:rPr>
        <w:t xml:space="preserve"> </w:t>
      </w:r>
      <w:r w:rsidRPr="009E3A67">
        <w:rPr>
          <w:rFonts w:ascii="Times New Roman" w:hAnsi="Times New Roman" w:cs="Times New Roman"/>
          <w:sz w:val="24"/>
          <w:szCs w:val="24"/>
        </w:rPr>
        <w:t>apresentam precisamente as dinâmicas de desenraizamento que marcam a transição forçada e violenta que se faz entre espaços e tempos –seja ela do mangue para a cidade de betão, do campo para a fábrica ou, num contexto de colonização, quando a “civilização” invade o espaço do indígena, tendo em vista a sua eliminação.</w:t>
      </w:r>
    </w:p>
    <w:p w14:paraId="4818BEF3"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Durante a construção do argumento articulado para este texto, expus e analisei a convergência entre o projeto nacionalista judaico (Sionismo) –como resposta, dada no final do século XIX, à condição vivida pelos judeus no espaço-tempo europeu– e a modernidade ocidental burguesa, propondo que os dois se retroalimentam e fazem parte de uma lógica continua de raci(on)alidade colonial. Essa lógica produz “mundos ao contrário” ou “fins de mundo”, a partir da introdução de uma ordem ontoepistemológica que produz, justifica e sustenta a realidade material onde alguns corpos e territórios prosperam às custas da violenta extração de “outros”. Contextos onde a exceção já é o paradigma normal de governo há vários séculos.</w:t>
      </w:r>
    </w:p>
    <w:p w14:paraId="78624B03"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Contudo, como afirmei antes, se o projeto moderno e colonial necessita, sempre, desses “outros”, eles não existem como iguais. No caso israelita, os palestinianos são incluídos no projeto colonial como corpos excedentes, cuja eliminação, material e simbólica é necessária para que o “enraizamento” como acumulação se concretize. Por outro lado, os judeus </w:t>
      </w:r>
      <w:r w:rsidRPr="009E3A67">
        <w:rPr>
          <w:rFonts w:ascii="Times New Roman" w:hAnsi="Times New Roman" w:cs="Times New Roman"/>
          <w:i/>
          <w:iCs/>
          <w:sz w:val="24"/>
          <w:szCs w:val="24"/>
        </w:rPr>
        <w:t>mizrahim</w:t>
      </w:r>
      <w:r w:rsidRPr="009E3A67">
        <w:rPr>
          <w:rFonts w:ascii="Times New Roman" w:hAnsi="Times New Roman" w:cs="Times New Roman"/>
          <w:sz w:val="24"/>
          <w:szCs w:val="24"/>
        </w:rPr>
        <w:t>, apesar de uma integração marcada pelo desenraizamento, são necessários para sustentar esse mesmo processo de “enraizamento” como acumulação e para lhe conferir um novo grau de legitimidade.</w:t>
      </w:r>
    </w:p>
    <w:p w14:paraId="6DE4B104"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historiadora palestiniana Rana Barakat (2021) descreve a lógica subjacente a este projeto a partir da distinção entre “pertencimento” e “propriedade”. Foi essa lógica que marcou e é ela que continua a marcar as condições de possibilidade para reivindicar um lugar e ser reconhecido. O movimento sionista reivindica a Palestina como propriedade judaica na qual qualquer judeu, independentemente da sua origem, pode existir na sua integralidade como proprietário neste e deste território. Ao inverter esta reivindicação, a autora afirma que a Palestina não pertence aos palestinianos, são os palestinianos que pertencem à Palestina. O vínculo descrito vai muito além daquele entre um quinhão e o seu dono, porque envolve uma relação entre memória, identidade coletiva e território, fruto de práticas e experiências quotidianas. Isso é algo perfeitamente traduzível pelo amor que os palestinianos nutrem pela Palestina tal como ela é, não no sentido patrimonial precisamente porque ela não é mercantilizada como bem, recurso ou coisa. Esse olhar sobre a Palestina como principal potenciador de um imaginário e de uma prática de libertação –como memória de outro mundo possível e como matéria desse mundo por vir– afasta-se radicalmente do impulso utópico-produtivista de “fazer o deserto florescer”, que o movimento sionista mobilizou como transformação destruidora.</w:t>
      </w:r>
    </w:p>
    <w:p w14:paraId="7967DB43"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O corpo social palestiniano funde-se com o território da Palestina, assim como o corpo de Chico Science –chié, aratu e caranguejo– se funde com o mangue. Da mesma forma, o movimento da “lama para o caos” é sempre pendular, uma desordem como método. Neste ponto as palavras do músico e da historiadora entrelaçam-se. Barakat escreve na sequência de um momento –a “Intifada da Unidade”, de maio 2021– despoletado pelo processo de expulsão de várias famílias palestinianas do bairro de Sheikh Jarrah, em Jerusalém Oriental. Contrariamente ao que vaticinou Ben-Gurion (</w:t>
      </w:r>
      <w:r w:rsidRPr="009E3A67">
        <w:rPr>
          <w:rFonts w:ascii="Times New Roman" w:hAnsi="Times New Roman" w:cs="Times New Roman"/>
          <w:i/>
          <w:iCs/>
          <w:sz w:val="24"/>
          <w:szCs w:val="24"/>
        </w:rPr>
        <w:t xml:space="preserve">apud </w:t>
      </w:r>
      <w:r w:rsidRPr="009E3A67">
        <w:rPr>
          <w:rFonts w:ascii="Times New Roman" w:hAnsi="Times New Roman" w:cs="Times New Roman"/>
          <w:sz w:val="24"/>
          <w:szCs w:val="24"/>
        </w:rPr>
        <w:t xml:space="preserve">NABULSI, 12 mai. 2006), depois de os palestinianos mais velhos terem morrido os mais novos não esqueceram e à limpeza étnica em curso, levada a cabo por colonos, e descrita pelos representantes do Estado, pelos seus tribunais e pelos </w:t>
      </w:r>
      <w:r w:rsidRPr="009E3A67">
        <w:rPr>
          <w:rFonts w:ascii="Times New Roman" w:hAnsi="Times New Roman" w:cs="Times New Roman"/>
          <w:i/>
          <w:iCs/>
          <w:sz w:val="24"/>
          <w:szCs w:val="24"/>
        </w:rPr>
        <w:t>media</w:t>
      </w:r>
      <w:r w:rsidRPr="009E3A67">
        <w:rPr>
          <w:rFonts w:ascii="Times New Roman" w:hAnsi="Times New Roman" w:cs="Times New Roman"/>
          <w:sz w:val="24"/>
          <w:szCs w:val="24"/>
        </w:rPr>
        <w:t xml:space="preserve"> como uma disputa imobiliária (GARBETT, 17 mai. 2021) –parte da reivindicação da Palestina como propriedade judaica– os palestinianos responderam com a organização coletiva massiva que criou uma das mais profundas desordens experimentadas dentro do Estado colonial desde o início do século XXI. Essa organização ficou marcada, sobretudo, pela afirmação da unidade territorial da Palestina –através da recusa em aceitar a fragmentação e diferenciação entre os vários exílios palestinianos distribuídos entre os territórios ocupados em 1948, Jerusalém Oriental, Cisjordânia, Gaza e o exílio–, mas também pela partilha de uma identidade coletiva como palestinianos, marcada pela memória e por experiências, práticas e desejos em comum.</w:t>
      </w:r>
    </w:p>
    <w:p w14:paraId="2053A070" w14:textId="77777777" w:rsidR="00FF4AC8" w:rsidRPr="009E3A67" w:rsidRDefault="00FF4AC8" w:rsidP="00FF4AC8">
      <w:pPr>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Assim como a </w:t>
      </w:r>
      <w:r w:rsidRPr="009E3A67">
        <w:rPr>
          <w:rFonts w:ascii="Times New Roman" w:hAnsi="Times New Roman" w:cs="Times New Roman"/>
          <w:i/>
          <w:iCs/>
          <w:sz w:val="24"/>
          <w:szCs w:val="24"/>
        </w:rPr>
        <w:t>Nakba</w:t>
      </w:r>
      <w:r w:rsidRPr="009E3A67">
        <w:rPr>
          <w:rFonts w:ascii="Times New Roman" w:hAnsi="Times New Roman" w:cs="Times New Roman"/>
          <w:sz w:val="24"/>
          <w:szCs w:val="24"/>
        </w:rPr>
        <w:t xml:space="preserve"> é um processo em curso, também o é a organização coletiva e a recusa dos palestinianos. Como qualquer luta pela libertação, ela não é, nem pode ser, um momento espontâneo de revolta, mas é antes parte de um longo processo partilhado, orgânico e fruto da acumulação de saberes e de outras lutas, dentro e fora da Palestina. No fundo, funciona como um movimento pendular entre espaços e tempos que sai do subterrâneo e da lama para reencantar o mundo e propor uma (ou diferentes) modernidade(s) subalterna(s). Elas, como dizem os palestinianos, são resistência como existência, porque mesmo silenciadas continuam a ter voz. Nós temos apenas de aprender a escutá-las quando nos oferecem um caminho para a descolonização despido de branquitude e a partir do qual “somos todos palestinianos” ou, como declararam os haitianos, “somos todos negros”, um universal alternativo, elaborado a partir da generalização do particular que foi excluído, não como reprodução de mais um universal excludente construído a partir de margens que querem ser centro, nem tão pouco como reivindicação da condição de vítima como identidade hermética, mas como agente de transformação e de construção de um mundo alternativo. Não o somos no sentido literal, mas porque assumimos a negritude e a palestinidade como ideias políticas marginais e necessárias para o desmantelamento de um sistema que apenas produz violência, desigualdade, ressentimento e alienação em relação àquilo que nos é comum. E a liberdade, como horizonte de emancipação radical, apenas o é se for construída em comum, quando o “eu” for simultaneamente o “outro”.</w:t>
      </w:r>
    </w:p>
    <w:p w14:paraId="433EAF58" w14:textId="77777777" w:rsidR="00FF4AC8" w:rsidRPr="009E3A67" w:rsidRDefault="00FF4AC8" w:rsidP="00FF4AC8">
      <w:pPr>
        <w:spacing w:after="0" w:line="360" w:lineRule="auto"/>
        <w:jc w:val="both"/>
        <w:rPr>
          <w:rFonts w:ascii="Times New Roman" w:hAnsi="Times New Roman" w:cs="Times New Roman"/>
          <w:sz w:val="24"/>
          <w:szCs w:val="24"/>
        </w:rPr>
      </w:pPr>
    </w:p>
    <w:p w14:paraId="56D9A7D2" w14:textId="77777777" w:rsidR="00FF4AC8" w:rsidRDefault="00FF4AC8" w:rsidP="00FF4AC8">
      <w:pPr>
        <w:spacing w:after="0" w:line="360" w:lineRule="auto"/>
        <w:jc w:val="both"/>
        <w:rPr>
          <w:rFonts w:ascii="Times New Roman" w:hAnsi="Times New Roman" w:cs="Times New Roman"/>
          <w:b/>
          <w:bCs/>
          <w:sz w:val="24"/>
          <w:szCs w:val="24"/>
        </w:rPr>
      </w:pPr>
      <w:r w:rsidRPr="009E3A67">
        <w:rPr>
          <w:rFonts w:ascii="Times New Roman" w:hAnsi="Times New Roman" w:cs="Times New Roman"/>
          <w:b/>
          <w:bCs/>
          <w:sz w:val="24"/>
          <w:szCs w:val="24"/>
        </w:rPr>
        <w:t>REFERÊNCIAS</w:t>
      </w:r>
    </w:p>
    <w:p w14:paraId="796E9672" w14:textId="77777777" w:rsidR="00C91A5B" w:rsidRPr="009E3A67" w:rsidRDefault="00C91A5B" w:rsidP="00FF4AC8">
      <w:pPr>
        <w:spacing w:after="0" w:line="360" w:lineRule="auto"/>
        <w:jc w:val="both"/>
        <w:rPr>
          <w:rFonts w:ascii="Times New Roman" w:hAnsi="Times New Roman" w:cs="Times New Roman"/>
          <w:b/>
          <w:bCs/>
          <w:sz w:val="24"/>
          <w:szCs w:val="24"/>
        </w:rPr>
      </w:pPr>
    </w:p>
    <w:p w14:paraId="77080FDB"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ABULHAWA, Susana. Invention of the Mizrahim. </w:t>
      </w:r>
      <w:r w:rsidRPr="009E3A67">
        <w:rPr>
          <w:rFonts w:ascii="Times New Roman" w:eastAsia="Times New Roman" w:hAnsi="Times New Roman" w:cs="Times New Roman"/>
          <w:i/>
          <w:iCs/>
          <w:sz w:val="24"/>
          <w:szCs w:val="24"/>
          <w:lang w:eastAsia="pt-PT"/>
        </w:rPr>
        <w:t>Al-Jazeera</w:t>
      </w:r>
      <w:r w:rsidRPr="009E3A67">
        <w:rPr>
          <w:rFonts w:ascii="Times New Roman" w:eastAsia="Times New Roman" w:hAnsi="Times New Roman" w:cs="Times New Roman"/>
          <w:sz w:val="24"/>
          <w:szCs w:val="24"/>
          <w:lang w:eastAsia="pt-PT"/>
        </w:rPr>
        <w:t xml:space="preserve">, 20 set. 2017. Disponível em: </w:t>
      </w:r>
      <w:hyperlink r:id="rId42" w:history="1">
        <w:r w:rsidRPr="009E3A67">
          <w:rPr>
            <w:rStyle w:val="Hyperlink"/>
            <w:rFonts w:ascii="Times New Roman" w:eastAsia="Times New Roman" w:hAnsi="Times New Roman" w:cs="Times New Roman"/>
            <w:sz w:val="24"/>
            <w:szCs w:val="24"/>
            <w:lang w:eastAsia="pt-PT"/>
          </w:rPr>
          <w:t>https://www.aljazeera.com/opinions/2017/9/20/invention-of-the-mizrahim</w:t>
        </w:r>
      </w:hyperlink>
      <w:r w:rsidRPr="009E3A67">
        <w:rPr>
          <w:rFonts w:ascii="Times New Roman" w:eastAsia="Times New Roman" w:hAnsi="Times New Roman" w:cs="Times New Roman"/>
          <w:sz w:val="24"/>
          <w:szCs w:val="24"/>
          <w:lang w:eastAsia="pt-PT"/>
        </w:rPr>
        <w:t>. Acesso em: 31/03/2023.</w:t>
      </w:r>
    </w:p>
    <w:p w14:paraId="0B554C55"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625E1173"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lang w:val="en-US"/>
        </w:rPr>
      </w:pPr>
      <w:r w:rsidRPr="009E3A67">
        <w:rPr>
          <w:rFonts w:ascii="Times New Roman" w:hAnsi="Times New Roman" w:cs="Times New Roman"/>
          <w:sz w:val="24"/>
          <w:szCs w:val="24"/>
          <w:lang w:val="en-US"/>
        </w:rPr>
        <w:t xml:space="preserve">AJL, Max. </w:t>
      </w:r>
      <w:r w:rsidRPr="009E3A67">
        <w:rPr>
          <w:rFonts w:ascii="Times New Roman" w:hAnsi="Times New Roman" w:cs="Times New Roman"/>
          <w:i/>
          <w:iCs/>
          <w:sz w:val="24"/>
          <w:szCs w:val="24"/>
          <w:lang w:val="en-US"/>
        </w:rPr>
        <w:t>Logics of Elimination and Settler Colonialism</w:t>
      </w:r>
      <w:r w:rsidRPr="009E3A67">
        <w:rPr>
          <w:rFonts w:ascii="Times New Roman" w:hAnsi="Times New Roman" w:cs="Times New Roman"/>
          <w:sz w:val="24"/>
          <w:szCs w:val="24"/>
          <w:lang w:val="en-US"/>
        </w:rPr>
        <w:t xml:space="preserve">: Decolonization or National Liberation? Middle East Critique. V. 32, n. 2, pp. 259-283, 2023. </w:t>
      </w:r>
      <w:hyperlink r:id="rId43" w:history="1">
        <w:r w:rsidRPr="009E3A67">
          <w:rPr>
            <w:rStyle w:val="Hyperlink"/>
            <w:rFonts w:ascii="Times New Roman" w:hAnsi="Times New Roman" w:cs="Times New Roman"/>
            <w:sz w:val="24"/>
            <w:szCs w:val="24"/>
            <w:lang w:val="en-US"/>
          </w:rPr>
          <w:t>https://doi.org/10.1080/19436149.2023.2191401</w:t>
        </w:r>
      </w:hyperlink>
      <w:r w:rsidRPr="009E3A67">
        <w:rPr>
          <w:rFonts w:ascii="Times New Roman" w:hAnsi="Times New Roman" w:cs="Times New Roman"/>
          <w:sz w:val="24"/>
          <w:szCs w:val="24"/>
          <w:lang w:val="en-US"/>
        </w:rPr>
        <w:t>.</w:t>
      </w:r>
    </w:p>
    <w:p w14:paraId="4DD047F0"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lang w:val="en-US"/>
        </w:rPr>
      </w:pPr>
    </w:p>
    <w:p w14:paraId="4A648FE3"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ALIANÇA INTERNACIONAL PARA A MEMÓRIA DO HOLOCAUSTO (AIMH). </w:t>
      </w:r>
      <w:r w:rsidRPr="009E3A67">
        <w:rPr>
          <w:rFonts w:ascii="Times New Roman" w:eastAsia="Times New Roman" w:hAnsi="Times New Roman" w:cs="Times New Roman"/>
          <w:i/>
          <w:iCs/>
          <w:sz w:val="24"/>
          <w:szCs w:val="24"/>
          <w:lang w:eastAsia="pt-PT"/>
        </w:rPr>
        <w:t>A definição prática de antissemitismo da IHRA.</w:t>
      </w:r>
      <w:r w:rsidRPr="009E3A67">
        <w:rPr>
          <w:rFonts w:ascii="Times New Roman" w:eastAsia="Times New Roman" w:hAnsi="Times New Roman" w:cs="Times New Roman"/>
          <w:sz w:val="24"/>
          <w:szCs w:val="24"/>
          <w:lang w:eastAsia="pt-PT"/>
        </w:rPr>
        <w:t xml:space="preserve"> 26 mai. 2016. Dsiponível em: </w:t>
      </w:r>
      <w:hyperlink r:id="rId44" w:history="1">
        <w:r w:rsidRPr="009E3A67">
          <w:rPr>
            <w:rStyle w:val="Hyperlink"/>
            <w:rFonts w:ascii="Times New Roman" w:eastAsia="Times New Roman" w:hAnsi="Times New Roman" w:cs="Times New Roman"/>
            <w:sz w:val="24"/>
            <w:szCs w:val="24"/>
            <w:lang w:eastAsia="pt-PT"/>
          </w:rPr>
          <w:t>https://www.holocaustremembrance.com/pt-pt/resources/working-definitions-charters/definicao-pratica-de-antissemitismo-da-ihra</w:t>
        </w:r>
      </w:hyperlink>
      <w:r w:rsidRPr="009E3A67">
        <w:rPr>
          <w:rFonts w:ascii="Times New Roman" w:eastAsia="Times New Roman" w:hAnsi="Times New Roman" w:cs="Times New Roman"/>
          <w:sz w:val="24"/>
          <w:szCs w:val="24"/>
          <w:lang w:eastAsia="pt-PT"/>
        </w:rPr>
        <w:t>. Acesso em 31/03/2023.</w:t>
      </w:r>
    </w:p>
    <w:p w14:paraId="0EF0DF2B"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ALKOUSAA, Riham; NASR, Joseph. Germany designates BDS Israel boycott movement as anti-Semitic. </w:t>
      </w:r>
      <w:r w:rsidRPr="009E3A67">
        <w:rPr>
          <w:rFonts w:ascii="Times New Roman" w:eastAsia="Times New Roman" w:hAnsi="Times New Roman" w:cs="Times New Roman"/>
          <w:i/>
          <w:iCs/>
          <w:sz w:val="24"/>
          <w:szCs w:val="24"/>
          <w:lang w:eastAsia="pt-PT"/>
        </w:rPr>
        <w:t>Reuters</w:t>
      </w:r>
      <w:r w:rsidRPr="009E3A67">
        <w:rPr>
          <w:rFonts w:ascii="Times New Roman" w:eastAsia="Times New Roman" w:hAnsi="Times New Roman" w:cs="Times New Roman"/>
          <w:sz w:val="24"/>
          <w:szCs w:val="24"/>
          <w:lang w:eastAsia="pt-PT"/>
        </w:rPr>
        <w:t xml:space="preserve">, 17 mai. 2019. Disponível em: </w:t>
      </w:r>
      <w:hyperlink r:id="rId45" w:history="1">
        <w:r w:rsidRPr="009E3A67">
          <w:rPr>
            <w:rStyle w:val="Hyperlink"/>
            <w:rFonts w:ascii="Times New Roman" w:eastAsia="Times New Roman" w:hAnsi="Times New Roman" w:cs="Times New Roman"/>
            <w:sz w:val="24"/>
            <w:szCs w:val="24"/>
            <w:lang w:eastAsia="pt-PT"/>
          </w:rPr>
          <w:t>https://www.reuters.com/article/technology/germany-designates-bds-israel-boycott-movement-as-anti-semitic-idUSL5N22T4OA/</w:t>
        </w:r>
      </w:hyperlink>
      <w:r w:rsidRPr="009E3A67">
        <w:rPr>
          <w:rFonts w:ascii="Times New Roman" w:eastAsia="Times New Roman" w:hAnsi="Times New Roman" w:cs="Times New Roman"/>
          <w:sz w:val="24"/>
          <w:szCs w:val="24"/>
          <w:lang w:eastAsia="pt-PT"/>
        </w:rPr>
        <w:t>. Acesso em 22/05/2022.</w:t>
      </w:r>
    </w:p>
    <w:p w14:paraId="49AE3715"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3B83FEE4"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AMIN, Samir. </w:t>
      </w:r>
      <w:r w:rsidRPr="009E3A67">
        <w:rPr>
          <w:rFonts w:ascii="Times New Roman" w:eastAsia="Times New Roman" w:hAnsi="Times New Roman" w:cs="Times New Roman"/>
          <w:i/>
          <w:iCs/>
          <w:sz w:val="24"/>
          <w:szCs w:val="24"/>
          <w:lang w:eastAsia="pt-PT"/>
        </w:rPr>
        <w:t>Eurocentrismo: crítica de uma ideologia</w:t>
      </w:r>
      <w:r w:rsidRPr="009E3A67">
        <w:rPr>
          <w:rFonts w:ascii="Times New Roman" w:eastAsia="Times New Roman" w:hAnsi="Times New Roman" w:cs="Times New Roman"/>
          <w:sz w:val="24"/>
          <w:szCs w:val="24"/>
          <w:lang w:eastAsia="pt-PT"/>
        </w:rPr>
        <w:t>. Tradução: Ana Barradas. São Paulo: Lavra Palavra, 2021 [1988].</w:t>
      </w:r>
    </w:p>
    <w:p w14:paraId="51D637A2"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222134A5"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AMNISTIA INTERNACIONAL (AI). </w:t>
      </w:r>
      <w:r w:rsidRPr="009E3A67">
        <w:rPr>
          <w:rFonts w:ascii="Times New Roman" w:eastAsia="Times New Roman" w:hAnsi="Times New Roman" w:cs="Times New Roman"/>
          <w:i/>
          <w:iCs/>
          <w:sz w:val="24"/>
          <w:szCs w:val="24"/>
          <w:lang w:val="en-US" w:eastAsia="pt-PT"/>
        </w:rPr>
        <w:t>“You Feel Like You Are Subhuman”: Israel’s Genocide Against Palestinians in Gaza</w:t>
      </w:r>
      <w:r w:rsidRPr="009E3A67">
        <w:rPr>
          <w:rFonts w:ascii="Times New Roman" w:eastAsia="Times New Roman" w:hAnsi="Times New Roman" w:cs="Times New Roman"/>
          <w:sz w:val="24"/>
          <w:szCs w:val="24"/>
          <w:lang w:val="en-US" w:eastAsia="pt-PT"/>
        </w:rPr>
        <w:t xml:space="preserve">. 5 dez. 2024. </w:t>
      </w:r>
      <w:r w:rsidRPr="009E3A67">
        <w:rPr>
          <w:rFonts w:ascii="Times New Roman" w:eastAsia="Times New Roman" w:hAnsi="Times New Roman" w:cs="Times New Roman"/>
          <w:sz w:val="24"/>
          <w:szCs w:val="24"/>
          <w:lang w:eastAsia="pt-PT"/>
        </w:rPr>
        <w:t xml:space="preserve">Disponível em: </w:t>
      </w:r>
      <w:hyperlink r:id="rId46" w:history="1">
        <w:r w:rsidRPr="009E3A67">
          <w:rPr>
            <w:rStyle w:val="Hyperlink"/>
            <w:rFonts w:ascii="Times New Roman" w:eastAsia="Times New Roman" w:hAnsi="Times New Roman" w:cs="Times New Roman"/>
            <w:sz w:val="24"/>
            <w:szCs w:val="24"/>
            <w:lang w:eastAsia="pt-PT"/>
          </w:rPr>
          <w:t>https://www.amnesty.org/en/documents/mde15/8668/2024/en/</w:t>
        </w:r>
      </w:hyperlink>
      <w:r w:rsidRPr="009E3A67">
        <w:rPr>
          <w:rFonts w:ascii="Times New Roman" w:eastAsia="Times New Roman" w:hAnsi="Times New Roman" w:cs="Times New Roman"/>
          <w:sz w:val="24"/>
          <w:szCs w:val="24"/>
          <w:u w:val="single"/>
          <w:lang w:eastAsia="pt-PT"/>
        </w:rPr>
        <w:t>.</w:t>
      </w:r>
      <w:r w:rsidRPr="009E3A67">
        <w:rPr>
          <w:rFonts w:ascii="Times New Roman" w:eastAsia="Times New Roman" w:hAnsi="Times New Roman" w:cs="Times New Roman"/>
          <w:sz w:val="24"/>
          <w:szCs w:val="24"/>
          <w:lang w:eastAsia="pt-PT"/>
        </w:rPr>
        <w:t>Acesso em 06/12/2024.</w:t>
      </w:r>
    </w:p>
    <w:p w14:paraId="6EED5BE8"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22EBB570"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ASSEMBLEIA GERAL DA ONU (AG-ONU). </w:t>
      </w:r>
      <w:r w:rsidRPr="009E3A67">
        <w:rPr>
          <w:rFonts w:ascii="Times New Roman" w:hAnsi="Times New Roman" w:cs="Times New Roman"/>
          <w:i/>
          <w:iCs/>
          <w:sz w:val="24"/>
          <w:szCs w:val="24"/>
        </w:rPr>
        <w:t xml:space="preserve">Resolução 181 – Plano de Partição da Palestina. </w:t>
      </w:r>
      <w:r w:rsidRPr="009E3A67">
        <w:rPr>
          <w:rFonts w:ascii="Times New Roman" w:hAnsi="Times New Roman" w:cs="Times New Roman"/>
          <w:sz w:val="24"/>
          <w:szCs w:val="24"/>
        </w:rPr>
        <w:t>29 nov. 1947.</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Disponível em:</w:t>
      </w:r>
      <w:r w:rsidRPr="009E3A67">
        <w:rPr>
          <w:rFonts w:ascii="Times New Roman" w:hAnsi="Times New Roman" w:cs="Times New Roman"/>
          <w:i/>
          <w:iCs/>
          <w:sz w:val="24"/>
          <w:szCs w:val="24"/>
        </w:rPr>
        <w:t xml:space="preserve"> </w:t>
      </w:r>
      <w:hyperlink r:id="rId47" w:history="1">
        <w:r w:rsidRPr="009E3A67">
          <w:rPr>
            <w:rStyle w:val="Hyperlink"/>
            <w:rFonts w:ascii="Times New Roman" w:hAnsi="Times New Roman" w:cs="Times New Roman"/>
            <w:sz w:val="24"/>
            <w:szCs w:val="24"/>
          </w:rPr>
          <w:t>https://avalon.law.yale.edu/20th_century/res181.asp. Acesso em 12/01/2022</w:t>
        </w:r>
      </w:hyperlink>
      <w:r w:rsidRPr="009E3A67">
        <w:rPr>
          <w:rFonts w:ascii="Times New Roman" w:hAnsi="Times New Roman" w:cs="Times New Roman"/>
          <w:sz w:val="24"/>
          <w:szCs w:val="24"/>
        </w:rPr>
        <w:t>.</w:t>
      </w:r>
    </w:p>
    <w:p w14:paraId="479C61BA"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555E06D1"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eastAsia="pt-PT"/>
        </w:rPr>
        <w:t>______.</w:t>
      </w:r>
      <w:r w:rsidRPr="009E3A67">
        <w:rPr>
          <w:rFonts w:ascii="Times New Roman" w:hAnsi="Times New Roman" w:cs="Times New Roman"/>
          <w:sz w:val="24"/>
          <w:szCs w:val="24"/>
        </w:rPr>
        <w:t xml:space="preserve"> </w:t>
      </w:r>
      <w:r w:rsidRPr="009E3A67">
        <w:rPr>
          <w:rFonts w:ascii="Times New Roman" w:hAnsi="Times New Roman" w:cs="Times New Roman"/>
          <w:i/>
          <w:iCs/>
          <w:sz w:val="24"/>
          <w:szCs w:val="24"/>
        </w:rPr>
        <w:t>Resolução 260 A (III) – Convenção para a Prevenção e Punição do Crime de Genocídio</w:t>
      </w:r>
      <w:r w:rsidRPr="009E3A67">
        <w:rPr>
          <w:rFonts w:ascii="Times New Roman" w:hAnsi="Times New Roman" w:cs="Times New Roman"/>
          <w:sz w:val="24"/>
          <w:szCs w:val="24"/>
        </w:rPr>
        <w:t>. 9 dez. 1948. Disponível em:</w:t>
      </w:r>
      <w:r w:rsidRPr="009E3A67">
        <w:rPr>
          <w:rFonts w:ascii="Times New Roman" w:hAnsi="Times New Roman" w:cs="Times New Roman"/>
          <w:i/>
          <w:iCs/>
          <w:sz w:val="24"/>
          <w:szCs w:val="24"/>
        </w:rPr>
        <w:t xml:space="preserve"> </w:t>
      </w:r>
      <w:hyperlink r:id="rId48" w:history="1">
        <w:r w:rsidRPr="003F5FC1">
          <w:rPr>
            <w:rStyle w:val="Hyperlink"/>
            <w:rFonts w:ascii="Times New Roman" w:hAnsi="Times New Roman" w:cs="Times New Roman"/>
            <w:sz w:val="24"/>
            <w:szCs w:val="24"/>
          </w:rPr>
          <w:t>https://www.un.org/en/genocideprevention/documents/atrocity-crimes/Doc.1_Convention%20on%20the%20Prevention%20and%20Punishment%20of%20the%20Crime%20of%20Genocide.pdf</w:t>
        </w:r>
      </w:hyperlink>
      <w:r w:rsidRPr="003F5FC1">
        <w:rPr>
          <w:rFonts w:ascii="Times New Roman" w:hAnsi="Times New Roman" w:cs="Times New Roman"/>
          <w:sz w:val="24"/>
          <w:szCs w:val="24"/>
        </w:rPr>
        <w:t>.</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Acesso em 14/02/2025.</w:t>
      </w:r>
    </w:p>
    <w:p w14:paraId="13386F7F"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771A205E"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eastAsia="pt-PT"/>
        </w:rPr>
        <w:t>______.</w:t>
      </w:r>
      <w:r w:rsidRPr="009E3A67">
        <w:rPr>
          <w:rFonts w:ascii="Times New Roman" w:hAnsi="Times New Roman" w:cs="Times New Roman"/>
          <w:sz w:val="24"/>
          <w:szCs w:val="24"/>
        </w:rPr>
        <w:t xml:space="preserve"> </w:t>
      </w:r>
      <w:r w:rsidRPr="009E3A67">
        <w:rPr>
          <w:rFonts w:ascii="Times New Roman" w:hAnsi="Times New Roman" w:cs="Times New Roman"/>
          <w:i/>
          <w:iCs/>
          <w:sz w:val="24"/>
          <w:szCs w:val="24"/>
        </w:rPr>
        <w:t>Resolução 217 A – Declaração Universal dos Direitos Humanos</w:t>
      </w:r>
      <w:r w:rsidRPr="009E3A67">
        <w:rPr>
          <w:rFonts w:ascii="Times New Roman" w:hAnsi="Times New Roman" w:cs="Times New Roman"/>
          <w:sz w:val="24"/>
          <w:szCs w:val="24"/>
        </w:rPr>
        <w:t>. 10 dez. 1948. Disponível em:</w:t>
      </w:r>
      <w:r w:rsidRPr="009E3A67">
        <w:rPr>
          <w:rFonts w:ascii="Times New Roman" w:hAnsi="Times New Roman" w:cs="Times New Roman"/>
          <w:i/>
          <w:iCs/>
          <w:sz w:val="24"/>
          <w:szCs w:val="24"/>
        </w:rPr>
        <w:t xml:space="preserve"> </w:t>
      </w:r>
      <w:hyperlink r:id="rId49" w:history="1">
        <w:r w:rsidRPr="009E3A67">
          <w:rPr>
            <w:rStyle w:val="Hyperlink"/>
            <w:rFonts w:ascii="Times New Roman" w:hAnsi="Times New Roman" w:cs="Times New Roman"/>
            <w:sz w:val="24"/>
            <w:szCs w:val="24"/>
          </w:rPr>
          <w:t>https://www.un.org/en/about-us/universal-declaration-of-human-rights</w:t>
        </w:r>
      </w:hyperlink>
      <w:r w:rsidRPr="009E3A67">
        <w:rPr>
          <w:rFonts w:ascii="Times New Roman" w:hAnsi="Times New Roman" w:cs="Times New Roman"/>
          <w:sz w:val="24"/>
          <w:szCs w:val="24"/>
        </w:rPr>
        <w:t>. Acesso em 12/01/2022.</w:t>
      </w:r>
    </w:p>
    <w:p w14:paraId="4058B00F"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2566F74F"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eastAsia="pt-PT"/>
        </w:rPr>
        <w:t>______.</w:t>
      </w:r>
      <w:r w:rsidRPr="009E3A67">
        <w:rPr>
          <w:rFonts w:ascii="Times New Roman" w:hAnsi="Times New Roman" w:cs="Times New Roman"/>
          <w:sz w:val="24"/>
          <w:szCs w:val="24"/>
        </w:rPr>
        <w:t xml:space="preserve"> </w:t>
      </w:r>
      <w:r w:rsidRPr="009E3A67">
        <w:rPr>
          <w:rFonts w:ascii="Times New Roman" w:hAnsi="Times New Roman" w:cs="Times New Roman"/>
          <w:i/>
          <w:iCs/>
          <w:sz w:val="24"/>
          <w:szCs w:val="24"/>
        </w:rPr>
        <w:t>Resolução 194 (III)</w:t>
      </w:r>
      <w:r w:rsidRPr="009E3A67">
        <w:rPr>
          <w:rFonts w:ascii="Times New Roman" w:hAnsi="Times New Roman" w:cs="Times New Roman"/>
          <w:b/>
          <w:bCs/>
          <w:i/>
          <w:iCs/>
          <w:sz w:val="24"/>
          <w:szCs w:val="24"/>
        </w:rPr>
        <w:t xml:space="preserve"> – </w:t>
      </w:r>
      <w:r w:rsidRPr="009E3A67">
        <w:rPr>
          <w:rFonts w:ascii="Times New Roman" w:hAnsi="Times New Roman" w:cs="Times New Roman"/>
          <w:i/>
          <w:iCs/>
          <w:sz w:val="24"/>
          <w:szCs w:val="24"/>
        </w:rPr>
        <w:t>Palestina (Relatório de Progresso do Mediador das Nações Unidas)</w:t>
      </w:r>
      <w:r w:rsidRPr="009E3A67">
        <w:rPr>
          <w:rFonts w:ascii="Times New Roman" w:hAnsi="Times New Roman" w:cs="Times New Roman"/>
          <w:sz w:val="24"/>
          <w:szCs w:val="24"/>
        </w:rPr>
        <w:t>.</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11 dez. 1948. Disponível em:</w:t>
      </w:r>
      <w:r w:rsidRPr="009E3A67">
        <w:rPr>
          <w:rFonts w:ascii="Times New Roman" w:hAnsi="Times New Roman" w:cs="Times New Roman"/>
          <w:i/>
          <w:iCs/>
          <w:sz w:val="24"/>
          <w:szCs w:val="24"/>
        </w:rPr>
        <w:t xml:space="preserve"> </w:t>
      </w:r>
      <w:hyperlink r:id="rId50" w:history="1">
        <w:r w:rsidRPr="009E3A67">
          <w:rPr>
            <w:rStyle w:val="Hyperlink"/>
            <w:rFonts w:ascii="Times New Roman" w:hAnsi="Times New Roman" w:cs="Times New Roman"/>
            <w:sz w:val="24"/>
            <w:szCs w:val="24"/>
          </w:rPr>
          <w:t>https://www.un.org/unispal/wp-content/uploads/2016/06/ARES194III.pdf</w:t>
        </w:r>
      </w:hyperlink>
      <w:r w:rsidRPr="009E3A67">
        <w:rPr>
          <w:rFonts w:ascii="Times New Roman" w:hAnsi="Times New Roman" w:cs="Times New Roman"/>
          <w:sz w:val="24"/>
          <w:szCs w:val="24"/>
        </w:rPr>
        <w:t>. Acesso em 12/01/2022.</w:t>
      </w:r>
    </w:p>
    <w:p w14:paraId="7A2A4C97"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43C93437"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eastAsia="pt-PT"/>
        </w:rPr>
        <w:t>______.</w:t>
      </w:r>
      <w:r w:rsidRPr="009E3A67">
        <w:rPr>
          <w:rFonts w:ascii="Times New Roman" w:hAnsi="Times New Roman" w:cs="Times New Roman"/>
          <w:sz w:val="24"/>
          <w:szCs w:val="24"/>
        </w:rPr>
        <w:t xml:space="preserve"> </w:t>
      </w:r>
      <w:r w:rsidRPr="009E3A67">
        <w:rPr>
          <w:rFonts w:ascii="Times New Roman" w:hAnsi="Times New Roman" w:cs="Times New Roman"/>
          <w:i/>
          <w:iCs/>
          <w:sz w:val="24"/>
          <w:szCs w:val="24"/>
        </w:rPr>
        <w:t>Resolução 273 (III) – Admissão de Israel como membro das Nações Unidas (depois de aprovado pela Resolução 69 de 4 de março de 1949, aprovada no Conselho de Segurança da ONU)</w:t>
      </w:r>
      <w:r w:rsidRPr="009E3A67">
        <w:rPr>
          <w:rFonts w:ascii="Times New Roman" w:hAnsi="Times New Roman" w:cs="Times New Roman"/>
          <w:sz w:val="24"/>
          <w:szCs w:val="24"/>
        </w:rPr>
        <w:t>.</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11 mai. 1949. Disponível em:</w:t>
      </w:r>
      <w:r w:rsidRPr="009E3A67">
        <w:rPr>
          <w:rFonts w:ascii="Times New Roman" w:hAnsi="Times New Roman" w:cs="Times New Roman"/>
          <w:i/>
          <w:iCs/>
          <w:sz w:val="24"/>
          <w:szCs w:val="24"/>
        </w:rPr>
        <w:t xml:space="preserve"> </w:t>
      </w:r>
      <w:hyperlink r:id="rId51" w:history="1">
        <w:r w:rsidRPr="009E3A67">
          <w:rPr>
            <w:rStyle w:val="Hyperlink"/>
            <w:rFonts w:ascii="Times New Roman" w:hAnsi="Times New Roman" w:cs="Times New Roman"/>
            <w:sz w:val="24"/>
            <w:szCs w:val="24"/>
          </w:rPr>
          <w:t>https://digitallibrary.un.org/record/210373?ln=en</w:t>
        </w:r>
      </w:hyperlink>
      <w:r w:rsidRPr="009E3A67">
        <w:rPr>
          <w:rFonts w:ascii="Times New Roman" w:hAnsi="Times New Roman" w:cs="Times New Roman"/>
          <w:sz w:val="24"/>
          <w:szCs w:val="24"/>
        </w:rPr>
        <w:t>. Acesso em 12/01/2022.</w:t>
      </w:r>
    </w:p>
    <w:p w14:paraId="18E50976"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25A8A16D"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eastAsia="pt-PT"/>
        </w:rPr>
        <w:t>______.</w:t>
      </w:r>
      <w:r w:rsidRPr="009E3A67">
        <w:rPr>
          <w:rFonts w:ascii="Times New Roman" w:hAnsi="Times New Roman" w:cs="Times New Roman"/>
          <w:sz w:val="24"/>
          <w:szCs w:val="24"/>
        </w:rPr>
        <w:t xml:space="preserve"> </w:t>
      </w:r>
      <w:r w:rsidRPr="009E3A67">
        <w:rPr>
          <w:rFonts w:ascii="Times New Roman" w:hAnsi="Times New Roman" w:cs="Times New Roman"/>
          <w:i/>
          <w:iCs/>
          <w:sz w:val="24"/>
          <w:szCs w:val="24"/>
        </w:rPr>
        <w:t>Resolução 1514 (XV)</w:t>
      </w:r>
      <w:r w:rsidRPr="009E3A67">
        <w:rPr>
          <w:rFonts w:ascii="Times New Roman" w:hAnsi="Times New Roman" w:cs="Times New Roman"/>
          <w:b/>
          <w:bCs/>
          <w:i/>
          <w:iCs/>
          <w:sz w:val="24"/>
          <w:szCs w:val="24"/>
        </w:rPr>
        <w:t xml:space="preserve"> – </w:t>
      </w:r>
      <w:r w:rsidRPr="009E3A67">
        <w:rPr>
          <w:rFonts w:ascii="Times New Roman" w:hAnsi="Times New Roman" w:cs="Times New Roman"/>
          <w:i/>
          <w:iCs/>
          <w:sz w:val="24"/>
          <w:szCs w:val="24"/>
        </w:rPr>
        <w:t>Declaração da Concessão de Independência aos Países e Povos Coloniais</w:t>
      </w:r>
      <w:r w:rsidRPr="009E3A67">
        <w:rPr>
          <w:rFonts w:ascii="Times New Roman" w:hAnsi="Times New Roman" w:cs="Times New Roman"/>
          <w:sz w:val="24"/>
          <w:szCs w:val="24"/>
        </w:rPr>
        <w:t>.</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14 dez. 1960. Disponível em:</w:t>
      </w:r>
      <w:r w:rsidRPr="009E3A67">
        <w:rPr>
          <w:rFonts w:ascii="Times New Roman" w:hAnsi="Times New Roman" w:cs="Times New Roman"/>
          <w:i/>
          <w:iCs/>
          <w:sz w:val="24"/>
          <w:szCs w:val="24"/>
        </w:rPr>
        <w:t xml:space="preserve"> </w:t>
      </w:r>
      <w:hyperlink r:id="rId52" w:history="1">
        <w:r w:rsidRPr="009E3A67">
          <w:rPr>
            <w:rStyle w:val="Hyperlink"/>
            <w:rFonts w:ascii="Times New Roman" w:hAnsi="Times New Roman" w:cs="Times New Roman"/>
            <w:sz w:val="24"/>
            <w:szCs w:val="24"/>
          </w:rPr>
          <w:t>https://www.ohchr.org/en/instruments-mechanisms/instruments/declaration-granting-independence-colonial-countries-and-peoples</w:t>
        </w:r>
      </w:hyperlink>
      <w:r w:rsidRPr="009E3A67">
        <w:rPr>
          <w:rFonts w:ascii="Times New Roman" w:hAnsi="Times New Roman" w:cs="Times New Roman"/>
          <w:sz w:val="24"/>
          <w:szCs w:val="24"/>
        </w:rPr>
        <w:t>. Acesso em 12/01/2022.</w:t>
      </w:r>
    </w:p>
    <w:p w14:paraId="514596DB"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75B93B9A"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eastAsia="pt-PT"/>
        </w:rPr>
        <w:t>______.</w:t>
      </w:r>
      <w:r w:rsidRPr="009E3A67">
        <w:rPr>
          <w:rFonts w:ascii="Times New Roman" w:hAnsi="Times New Roman" w:cs="Times New Roman"/>
          <w:sz w:val="24"/>
          <w:szCs w:val="24"/>
        </w:rPr>
        <w:t xml:space="preserve"> </w:t>
      </w:r>
      <w:r w:rsidRPr="009E3A67">
        <w:rPr>
          <w:rFonts w:ascii="Times New Roman" w:hAnsi="Times New Roman" w:cs="Times New Roman"/>
          <w:i/>
          <w:iCs/>
          <w:sz w:val="24"/>
          <w:szCs w:val="24"/>
        </w:rPr>
        <w:t xml:space="preserve">Resolução 2198 (XXI) – Protocolo relacionado com o Estatuto dos Refugiados. </w:t>
      </w:r>
      <w:r w:rsidRPr="009E3A67">
        <w:rPr>
          <w:rFonts w:ascii="Times New Roman" w:hAnsi="Times New Roman" w:cs="Times New Roman"/>
          <w:sz w:val="24"/>
          <w:szCs w:val="24"/>
        </w:rPr>
        <w:t>16 dez. 1966. Disponível em:</w:t>
      </w:r>
      <w:r w:rsidRPr="009E3A67">
        <w:rPr>
          <w:rFonts w:ascii="Times New Roman" w:hAnsi="Times New Roman" w:cs="Times New Roman"/>
          <w:i/>
          <w:iCs/>
          <w:sz w:val="24"/>
          <w:szCs w:val="24"/>
        </w:rPr>
        <w:t xml:space="preserve"> </w:t>
      </w:r>
      <w:hyperlink r:id="rId53" w:history="1">
        <w:r w:rsidRPr="009E3A67">
          <w:rPr>
            <w:rStyle w:val="Hyperlink"/>
            <w:rFonts w:ascii="Times New Roman" w:hAnsi="Times New Roman" w:cs="Times New Roman"/>
            <w:sz w:val="24"/>
            <w:szCs w:val="24"/>
          </w:rPr>
          <w:t>https://www.ohchr.org/en/instruments-mechanisms/instruments/protocol-relating-status-refugees</w:t>
        </w:r>
      </w:hyperlink>
      <w:r w:rsidRPr="009E3A67">
        <w:rPr>
          <w:rFonts w:ascii="Times New Roman" w:hAnsi="Times New Roman" w:cs="Times New Roman"/>
          <w:sz w:val="24"/>
          <w:szCs w:val="24"/>
        </w:rPr>
        <w:t>. Acesso em 12/01/2022.</w:t>
      </w:r>
    </w:p>
    <w:p w14:paraId="5E30804D"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05B6DF78"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eastAsia="pt-PT"/>
        </w:rPr>
        <w:t>______.</w:t>
      </w:r>
      <w:r w:rsidRPr="009E3A67">
        <w:rPr>
          <w:rFonts w:ascii="Times New Roman" w:hAnsi="Times New Roman" w:cs="Times New Roman"/>
          <w:b/>
          <w:bCs/>
          <w:sz w:val="24"/>
          <w:szCs w:val="24"/>
        </w:rPr>
        <w:t xml:space="preserve"> </w:t>
      </w:r>
      <w:r w:rsidRPr="009E3A67">
        <w:rPr>
          <w:rFonts w:ascii="Times New Roman" w:hAnsi="Times New Roman" w:cs="Times New Roman"/>
          <w:i/>
          <w:iCs/>
          <w:sz w:val="24"/>
          <w:szCs w:val="24"/>
        </w:rPr>
        <w:t xml:space="preserve">Resolução 3379 (XXX) – Eliminação de todas as formas de discriminação racial. </w:t>
      </w:r>
      <w:r w:rsidRPr="009E3A67">
        <w:rPr>
          <w:rFonts w:ascii="Times New Roman" w:hAnsi="Times New Roman" w:cs="Times New Roman"/>
          <w:sz w:val="24"/>
          <w:szCs w:val="24"/>
        </w:rPr>
        <w:t>10 dez. 1975. Disponivel em:</w:t>
      </w:r>
      <w:r w:rsidRPr="009E3A67">
        <w:rPr>
          <w:rFonts w:ascii="Times New Roman" w:hAnsi="Times New Roman" w:cs="Times New Roman"/>
          <w:i/>
          <w:iCs/>
          <w:sz w:val="24"/>
          <w:szCs w:val="24"/>
        </w:rPr>
        <w:t xml:space="preserve"> </w:t>
      </w:r>
      <w:r w:rsidRPr="009E3A67">
        <w:rPr>
          <w:rStyle w:val="Hyperlink"/>
          <w:rFonts w:ascii="Times New Roman" w:hAnsi="Times New Roman" w:cs="Times New Roman"/>
          <w:sz w:val="24"/>
          <w:szCs w:val="24"/>
        </w:rPr>
        <w:t>https://web.archive.org/web/20121206052903/http://unispal.un.org/UNISPAL.NSF/0/761C1063530766A7052566A2005B74D1</w:t>
      </w:r>
      <w:r w:rsidRPr="009E3A67">
        <w:rPr>
          <w:rFonts w:ascii="Times New Roman" w:hAnsi="Times New Roman" w:cs="Times New Roman"/>
          <w:sz w:val="24"/>
          <w:szCs w:val="24"/>
        </w:rPr>
        <w:t>. Acesso em 12/01/2022.</w:t>
      </w:r>
    </w:p>
    <w:p w14:paraId="53A7BBBC"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64D9FD87"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ASSEMBLEIA NACIONAL DE FRANÇA (ANF). </w:t>
      </w:r>
      <w:r w:rsidRPr="009E3A67">
        <w:rPr>
          <w:rFonts w:ascii="Times New Roman" w:hAnsi="Times New Roman" w:cs="Times New Roman"/>
          <w:i/>
          <w:iCs/>
          <w:sz w:val="24"/>
          <w:szCs w:val="24"/>
        </w:rPr>
        <w:t xml:space="preserve">Declaração dos Direitos do Homem e do Cidadão. </w:t>
      </w:r>
      <w:r w:rsidRPr="009E3A67">
        <w:rPr>
          <w:rFonts w:ascii="Times New Roman" w:hAnsi="Times New Roman" w:cs="Times New Roman"/>
          <w:sz w:val="24"/>
          <w:szCs w:val="24"/>
        </w:rPr>
        <w:t>26 ago. 1789</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 xml:space="preserve">Disponível em: </w:t>
      </w:r>
      <w:hyperlink r:id="rId54" w:history="1">
        <w:r w:rsidRPr="009E3A67">
          <w:rPr>
            <w:rStyle w:val="Hyperlink"/>
            <w:rFonts w:ascii="Times New Roman" w:hAnsi="Times New Roman" w:cs="Times New Roman"/>
            <w:sz w:val="24"/>
            <w:szCs w:val="24"/>
          </w:rPr>
          <w:t>https://www.elysee.fr/en/french-presidency/the-declaration-of-the-rights-of-man-and-of-the-citizen</w:t>
        </w:r>
      </w:hyperlink>
      <w:r w:rsidRPr="009E3A67">
        <w:rPr>
          <w:rFonts w:ascii="Times New Roman" w:hAnsi="Times New Roman" w:cs="Times New Roman"/>
          <w:sz w:val="24"/>
          <w:szCs w:val="24"/>
        </w:rPr>
        <w:t>. Acesso em 29/07/2023.</w:t>
      </w:r>
    </w:p>
    <w:p w14:paraId="19E002E8"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41DC301C"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eastAsia="pt-PT"/>
        </w:rPr>
        <w:t>______.</w:t>
      </w:r>
      <w:r w:rsidRPr="009E3A67">
        <w:rPr>
          <w:rFonts w:ascii="Times New Roman" w:hAnsi="Times New Roman" w:cs="Times New Roman"/>
          <w:sz w:val="24"/>
          <w:szCs w:val="24"/>
        </w:rPr>
        <w:t xml:space="preserve"> </w:t>
      </w:r>
      <w:r w:rsidRPr="009E3A67">
        <w:rPr>
          <w:rFonts w:ascii="Times New Roman" w:hAnsi="Times New Roman" w:cs="Times New Roman"/>
          <w:i/>
          <w:iCs/>
          <w:sz w:val="24"/>
          <w:szCs w:val="24"/>
        </w:rPr>
        <w:t>Constituição francesa de 1791</w:t>
      </w:r>
      <w:r w:rsidRPr="009E3A67">
        <w:rPr>
          <w:rFonts w:ascii="Times New Roman" w:hAnsi="Times New Roman" w:cs="Times New Roman"/>
          <w:sz w:val="24"/>
          <w:szCs w:val="24"/>
        </w:rPr>
        <w:t>. 3 set. 1791. Disponível em: https://www.originalsources.com/Document.aspx?DocID=ZVK21Q2EQ91NQDA. Acesso em 29/07/2023.</w:t>
      </w:r>
    </w:p>
    <w:p w14:paraId="372E73FF"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0C24BE9A"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ASHKENAZI. </w:t>
      </w:r>
      <w:r w:rsidRPr="009E3A67">
        <w:rPr>
          <w:rFonts w:ascii="Times New Roman" w:hAnsi="Times New Roman" w:cs="Times New Roman"/>
          <w:i/>
          <w:iCs/>
          <w:sz w:val="24"/>
          <w:szCs w:val="24"/>
        </w:rPr>
        <w:t>Encyclopaedia Britannica,</w:t>
      </w:r>
      <w:r w:rsidRPr="009E3A67">
        <w:rPr>
          <w:rFonts w:ascii="Times New Roman" w:hAnsi="Times New Roman" w:cs="Times New Roman"/>
          <w:sz w:val="24"/>
          <w:szCs w:val="24"/>
        </w:rPr>
        <w:t xml:space="preserve"> [s.d.]. Disponível em: </w:t>
      </w:r>
      <w:hyperlink r:id="rId55" w:history="1">
        <w:r w:rsidRPr="009E3A67">
          <w:rPr>
            <w:rStyle w:val="Hyperlink"/>
            <w:rFonts w:ascii="Times New Roman" w:hAnsi="Times New Roman" w:cs="Times New Roman"/>
            <w:sz w:val="24"/>
            <w:szCs w:val="24"/>
          </w:rPr>
          <w:t>https://www.britannica.com/topic/Ashkenazi</w:t>
        </w:r>
      </w:hyperlink>
      <w:r w:rsidRPr="009E3A67">
        <w:rPr>
          <w:rFonts w:ascii="Times New Roman" w:hAnsi="Times New Roman" w:cs="Times New Roman"/>
          <w:sz w:val="24"/>
          <w:szCs w:val="24"/>
        </w:rPr>
        <w:t>. Acesso em 31/03/2023.</w:t>
      </w:r>
    </w:p>
    <w:p w14:paraId="78B0DFED"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348B79F7"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AYALA, Felipe Guaman Poma de. </w:t>
      </w:r>
      <w:r w:rsidRPr="009E3A67">
        <w:rPr>
          <w:rFonts w:ascii="Times New Roman" w:hAnsi="Times New Roman" w:cs="Times New Roman"/>
          <w:i/>
          <w:iCs/>
          <w:sz w:val="24"/>
          <w:szCs w:val="24"/>
        </w:rPr>
        <w:t>Guaman Poma: El Primer Nueva Corónica y Buen Gobierno</w:t>
      </w:r>
      <w:r w:rsidRPr="009E3A67">
        <w:rPr>
          <w:rFonts w:ascii="Times New Roman" w:hAnsi="Times New Roman" w:cs="Times New Roman"/>
          <w:sz w:val="24"/>
          <w:szCs w:val="24"/>
        </w:rPr>
        <w:t>. Copenhaga: Museum Tusculanum Press, 2002 [1613].</w:t>
      </w:r>
    </w:p>
    <w:p w14:paraId="65D2BDBD"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60C5E0A9"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lang w:val="en-US"/>
        </w:rPr>
      </w:pPr>
      <w:r w:rsidRPr="009E3A67">
        <w:rPr>
          <w:rFonts w:ascii="Times New Roman" w:hAnsi="Times New Roman" w:cs="Times New Roman"/>
          <w:sz w:val="24"/>
          <w:szCs w:val="24"/>
          <w:lang w:val="en-US"/>
        </w:rPr>
        <w:t xml:space="preserve">BARAKAT, Rana. </w:t>
      </w:r>
      <w:r w:rsidRPr="009E3A67">
        <w:rPr>
          <w:rFonts w:ascii="Times New Roman" w:hAnsi="Times New Roman" w:cs="Times New Roman"/>
          <w:i/>
          <w:iCs/>
          <w:sz w:val="24"/>
          <w:szCs w:val="24"/>
          <w:lang w:val="en-US"/>
        </w:rPr>
        <w:t>“Ramadan does not come for free”</w:t>
      </w:r>
      <w:r w:rsidRPr="009E3A67">
        <w:rPr>
          <w:rFonts w:ascii="Times New Roman" w:hAnsi="Times New Roman" w:cs="Times New Roman"/>
          <w:sz w:val="24"/>
          <w:szCs w:val="24"/>
          <w:lang w:val="en-US"/>
        </w:rPr>
        <w:t xml:space="preserve">: refusal as new and ongoing in Palestine. Journal of Palestine Studies. V. 50, n. 4, pp. 90-95, 2021. </w:t>
      </w:r>
      <w:hyperlink r:id="rId56" w:history="1">
        <w:r w:rsidRPr="009E3A67">
          <w:rPr>
            <w:rStyle w:val="Hyperlink"/>
            <w:rFonts w:ascii="Times New Roman" w:hAnsi="Times New Roman" w:cs="Times New Roman"/>
            <w:sz w:val="24"/>
            <w:szCs w:val="24"/>
            <w:lang w:val="en-US"/>
          </w:rPr>
          <w:t>https://doi.org/10.1080/0377919X.2021.1979376</w:t>
        </w:r>
      </w:hyperlink>
      <w:r w:rsidRPr="009E3A67">
        <w:rPr>
          <w:rFonts w:ascii="Times New Roman" w:hAnsi="Times New Roman" w:cs="Times New Roman"/>
          <w:sz w:val="24"/>
          <w:szCs w:val="24"/>
          <w:lang w:val="en-US"/>
        </w:rPr>
        <w:t>.</w:t>
      </w:r>
    </w:p>
    <w:p w14:paraId="2248ADE8"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lang w:val="en-US"/>
        </w:rPr>
      </w:pPr>
    </w:p>
    <w:p w14:paraId="59445015"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BERNSTEIN, Deborah. </w:t>
      </w:r>
      <w:r w:rsidRPr="009E3A67">
        <w:rPr>
          <w:rFonts w:ascii="Times New Roman" w:eastAsia="Times New Roman" w:hAnsi="Times New Roman" w:cs="Times New Roman"/>
          <w:i/>
          <w:iCs/>
          <w:sz w:val="24"/>
          <w:szCs w:val="24"/>
          <w:lang w:val="en-US" w:eastAsia="pt-PT"/>
        </w:rPr>
        <w:t>Immigrant transit camps</w:t>
      </w:r>
      <w:r w:rsidRPr="009E3A67">
        <w:rPr>
          <w:rFonts w:ascii="Times New Roman" w:eastAsia="Times New Roman" w:hAnsi="Times New Roman" w:cs="Times New Roman"/>
          <w:sz w:val="24"/>
          <w:szCs w:val="24"/>
          <w:lang w:val="en-US" w:eastAsia="pt-PT"/>
        </w:rPr>
        <w:t xml:space="preserve"> ‐ The formation of dependent relations in Israeli society. Ethnic and Racial Studies. V. 4, n. 1, pp. 26-43, 1981. </w:t>
      </w:r>
      <w:hyperlink r:id="rId57" w:history="1">
        <w:r w:rsidRPr="009E3A67">
          <w:rPr>
            <w:rStyle w:val="Hyperlink"/>
            <w:rFonts w:ascii="Times New Roman" w:eastAsia="Times New Roman" w:hAnsi="Times New Roman" w:cs="Times New Roman"/>
            <w:sz w:val="24"/>
            <w:szCs w:val="24"/>
            <w:lang w:val="en-US" w:eastAsia="pt-PT"/>
          </w:rPr>
          <w:t>https://doi.org/10.1080/01419870.1981.9993322</w:t>
        </w:r>
      </w:hyperlink>
      <w:r w:rsidRPr="009E3A67">
        <w:rPr>
          <w:rFonts w:ascii="Times New Roman" w:hAnsi="Times New Roman" w:cs="Times New Roman"/>
          <w:sz w:val="24"/>
          <w:szCs w:val="24"/>
          <w:lang w:val="en-US"/>
        </w:rPr>
        <w:t>.</w:t>
      </w:r>
    </w:p>
    <w:p w14:paraId="2CC11550"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065B762F"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BERNSTEIN, Deborah; SWIRSKI, Shlomo. </w:t>
      </w:r>
      <w:r w:rsidRPr="009E3A67">
        <w:rPr>
          <w:rFonts w:ascii="Times New Roman" w:eastAsia="Times New Roman" w:hAnsi="Times New Roman" w:cs="Times New Roman"/>
          <w:i/>
          <w:iCs/>
          <w:sz w:val="24"/>
          <w:szCs w:val="24"/>
          <w:lang w:val="en-US" w:eastAsia="pt-PT"/>
        </w:rPr>
        <w:t>The Rapid Economic Development of Israel and the Emergence of the Ethnic Division of Labour</w:t>
      </w:r>
      <w:r w:rsidRPr="009E3A67">
        <w:rPr>
          <w:rFonts w:ascii="Times New Roman" w:eastAsia="Times New Roman" w:hAnsi="Times New Roman" w:cs="Times New Roman"/>
          <w:sz w:val="24"/>
          <w:szCs w:val="24"/>
          <w:lang w:val="en-US" w:eastAsia="pt-PT"/>
        </w:rPr>
        <w:t xml:space="preserve">. The British Journal of Sociology. V. 33, n. 1, pp. 64-85, 1982. </w:t>
      </w:r>
      <w:hyperlink r:id="rId58" w:history="1">
        <w:r w:rsidRPr="009E3A67">
          <w:rPr>
            <w:rStyle w:val="Hyperlink"/>
            <w:rFonts w:ascii="Times New Roman" w:eastAsia="Times New Roman" w:hAnsi="Times New Roman" w:cs="Times New Roman"/>
            <w:sz w:val="24"/>
            <w:szCs w:val="24"/>
            <w:lang w:val="en-US" w:eastAsia="pt-PT"/>
          </w:rPr>
          <w:t>https://doi.org/10.2307/589337</w:t>
        </w:r>
      </w:hyperlink>
      <w:r w:rsidRPr="009E3A67">
        <w:rPr>
          <w:rFonts w:ascii="Times New Roman" w:hAnsi="Times New Roman" w:cs="Times New Roman"/>
          <w:sz w:val="24"/>
          <w:szCs w:val="24"/>
          <w:lang w:val="en-US"/>
        </w:rPr>
        <w:t>.</w:t>
      </w:r>
    </w:p>
    <w:p w14:paraId="7DD18D90"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6B30B8C2"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BHAMBRA, Gurminder K. </w:t>
      </w:r>
      <w:r w:rsidRPr="009E3A67">
        <w:rPr>
          <w:rFonts w:ascii="Times New Roman" w:eastAsia="Times New Roman" w:hAnsi="Times New Roman" w:cs="Times New Roman"/>
          <w:i/>
          <w:iCs/>
          <w:sz w:val="24"/>
          <w:szCs w:val="24"/>
          <w:lang w:val="en-US" w:eastAsia="pt-PT"/>
        </w:rPr>
        <w:t>Undoing the Epistemic Disavowal of the Haitian Revolution</w:t>
      </w:r>
      <w:r w:rsidRPr="009E3A67">
        <w:rPr>
          <w:rFonts w:ascii="Times New Roman" w:eastAsia="Times New Roman" w:hAnsi="Times New Roman" w:cs="Times New Roman"/>
          <w:sz w:val="24"/>
          <w:szCs w:val="24"/>
          <w:lang w:val="en-US" w:eastAsia="pt-PT"/>
        </w:rPr>
        <w:t xml:space="preserve">: A Contribution to Global Social Thought. Journal of Intercultural Studies. V. 37, n. 1, pp. 1-16, 2016. </w:t>
      </w:r>
      <w:hyperlink r:id="rId59" w:history="1">
        <w:r w:rsidRPr="009E3A67">
          <w:rPr>
            <w:rStyle w:val="Hyperlink"/>
            <w:rFonts w:ascii="Times New Roman" w:eastAsia="Times New Roman" w:hAnsi="Times New Roman" w:cs="Times New Roman"/>
            <w:sz w:val="24"/>
            <w:szCs w:val="24"/>
            <w:lang w:val="en-US" w:eastAsia="pt-PT"/>
          </w:rPr>
          <w:t>https://doi.org/10.1080/07256868.2015.1122578</w:t>
        </w:r>
      </w:hyperlink>
      <w:r w:rsidRPr="009E3A67">
        <w:rPr>
          <w:rFonts w:ascii="Times New Roman" w:hAnsi="Times New Roman" w:cs="Times New Roman"/>
          <w:sz w:val="24"/>
          <w:szCs w:val="24"/>
          <w:lang w:val="en-US"/>
        </w:rPr>
        <w:t>.</w:t>
      </w:r>
    </w:p>
    <w:p w14:paraId="472CD699"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1E31899F"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BONAPARTE, Napoleão. </w:t>
      </w:r>
      <w:r w:rsidRPr="009E3A67">
        <w:rPr>
          <w:rFonts w:ascii="Times New Roman" w:eastAsia="Times New Roman" w:hAnsi="Times New Roman" w:cs="Times New Roman"/>
          <w:i/>
          <w:iCs/>
          <w:sz w:val="24"/>
          <w:szCs w:val="24"/>
          <w:lang w:eastAsia="pt-PT"/>
        </w:rPr>
        <w:t>Lei de 20 de maio de 1802 – Restabelecimento da escravatura nas colónias</w:t>
      </w:r>
      <w:r w:rsidRPr="009E3A67">
        <w:rPr>
          <w:rFonts w:ascii="Times New Roman" w:eastAsia="Times New Roman" w:hAnsi="Times New Roman" w:cs="Times New Roman"/>
          <w:sz w:val="24"/>
          <w:szCs w:val="24"/>
          <w:lang w:eastAsia="pt-PT"/>
        </w:rPr>
        <w:t>. 20 mai. 1802. Disponível em: https://www.napoleon-series.org/research/government/legislation/c_slavery.html. Acesso em 29/07/2023.</w:t>
      </w:r>
    </w:p>
    <w:p w14:paraId="6D794AA9"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6132348C"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CÉSAIRE, Aimé. </w:t>
      </w:r>
      <w:r w:rsidRPr="009E3A67">
        <w:rPr>
          <w:rFonts w:ascii="Times New Roman" w:hAnsi="Times New Roman" w:cs="Times New Roman"/>
          <w:i/>
          <w:iCs/>
          <w:sz w:val="24"/>
          <w:szCs w:val="24"/>
        </w:rPr>
        <w:t>Discurso sobre o colonialismo</w:t>
      </w:r>
      <w:r w:rsidRPr="009E3A67">
        <w:rPr>
          <w:rFonts w:ascii="Times New Roman" w:hAnsi="Times New Roman" w:cs="Times New Roman"/>
          <w:sz w:val="24"/>
          <w:szCs w:val="24"/>
        </w:rPr>
        <w:t>. Tradução: Noémia de Sousa. Lisboa: Livraria Sá da Costa, 1978 [1955].</w:t>
      </w:r>
    </w:p>
    <w:p w14:paraId="5E16C223"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2A22AC68"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CHICO Science &amp; Nação Zumbi, </w:t>
      </w:r>
      <w:r w:rsidRPr="009E3A67">
        <w:rPr>
          <w:rFonts w:ascii="Times New Roman" w:hAnsi="Times New Roman" w:cs="Times New Roman"/>
          <w:i/>
          <w:iCs/>
          <w:sz w:val="24"/>
          <w:szCs w:val="24"/>
        </w:rPr>
        <w:t>Da Lama ao Caos</w:t>
      </w:r>
      <w:r w:rsidRPr="009E3A67">
        <w:rPr>
          <w:rFonts w:ascii="Times New Roman" w:hAnsi="Times New Roman" w:cs="Times New Roman"/>
          <w:sz w:val="24"/>
          <w:szCs w:val="24"/>
        </w:rPr>
        <w:t>. Rio de Janeiro: Polysom, 1994. 1 disco vinil (ca. 51 min.).</w:t>
      </w:r>
    </w:p>
    <w:p w14:paraId="0F3CD6A5"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2C0328A5"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lang w:val="en-US"/>
        </w:rPr>
        <w:t xml:space="preserve">CIDOR, Peggy. Why the right-wing Mizrahi vote is misunderstood in Israel. </w:t>
      </w:r>
      <w:r w:rsidRPr="009E3A67">
        <w:rPr>
          <w:rFonts w:ascii="Times New Roman" w:hAnsi="Times New Roman" w:cs="Times New Roman"/>
          <w:i/>
          <w:iCs/>
          <w:sz w:val="24"/>
          <w:szCs w:val="24"/>
        </w:rPr>
        <w:t>Middle East Eye</w:t>
      </w:r>
      <w:r w:rsidRPr="009E3A67">
        <w:rPr>
          <w:rFonts w:ascii="Times New Roman" w:hAnsi="Times New Roman" w:cs="Times New Roman"/>
          <w:sz w:val="24"/>
          <w:szCs w:val="24"/>
        </w:rPr>
        <w:t xml:space="preserve">, 1 fec. 2023. Disponível em: </w:t>
      </w:r>
      <w:hyperlink r:id="rId60" w:history="1">
        <w:r w:rsidRPr="009E3A67">
          <w:rPr>
            <w:rStyle w:val="Hyperlink"/>
            <w:rFonts w:ascii="Times New Roman" w:hAnsi="Times New Roman" w:cs="Times New Roman"/>
            <w:sz w:val="24"/>
            <w:szCs w:val="24"/>
          </w:rPr>
          <w:t>https://www.middleeasteye.net/news/israel-why-right-wing-mizrahi-vote-misunderstood</w:t>
        </w:r>
      </w:hyperlink>
      <w:r w:rsidRPr="009E3A67">
        <w:rPr>
          <w:rFonts w:ascii="Times New Roman" w:hAnsi="Times New Roman" w:cs="Times New Roman"/>
          <w:sz w:val="24"/>
          <w:szCs w:val="24"/>
        </w:rPr>
        <w:t>. Acesso em 31/03/2023.</w:t>
      </w:r>
    </w:p>
    <w:p w14:paraId="103B1E55"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470754EE"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lang w:val="en-US"/>
        </w:rPr>
      </w:pPr>
      <w:r w:rsidRPr="009E3A67">
        <w:rPr>
          <w:rFonts w:ascii="Times New Roman" w:hAnsi="Times New Roman" w:cs="Times New Roman"/>
          <w:sz w:val="24"/>
          <w:szCs w:val="24"/>
        </w:rPr>
        <w:t xml:space="preserve">COMISSÃO PARA O EXERCÍCIO DOS DIREITOS INALIENÁVEIS DO POVO PALESTINIANO DA ONU (CEDIPP-ONU). </w:t>
      </w:r>
      <w:r w:rsidRPr="009E3A67">
        <w:rPr>
          <w:rFonts w:ascii="Times New Roman" w:hAnsi="Times New Roman" w:cs="Times New Roman"/>
          <w:i/>
          <w:iCs/>
          <w:sz w:val="24"/>
          <w:szCs w:val="24"/>
          <w:lang w:val="en-US"/>
        </w:rPr>
        <w:t>The Right of Return of the Palestinian People.</w:t>
      </w:r>
      <w:r w:rsidRPr="009E3A67">
        <w:rPr>
          <w:rFonts w:ascii="Times New Roman" w:hAnsi="Times New Roman" w:cs="Times New Roman"/>
          <w:sz w:val="24"/>
          <w:szCs w:val="24"/>
          <w:lang w:val="en-US"/>
        </w:rPr>
        <w:t xml:space="preserve"> 1978. Disponível em:</w:t>
      </w:r>
      <w:r w:rsidRPr="009E3A67">
        <w:rPr>
          <w:rFonts w:ascii="Times New Roman" w:hAnsi="Times New Roman" w:cs="Times New Roman"/>
          <w:i/>
          <w:iCs/>
          <w:sz w:val="24"/>
          <w:szCs w:val="24"/>
          <w:lang w:val="en-US"/>
        </w:rPr>
        <w:t xml:space="preserve"> </w:t>
      </w:r>
      <w:hyperlink r:id="rId61" w:history="1">
        <w:r w:rsidRPr="009E3A67">
          <w:rPr>
            <w:rStyle w:val="Hyperlink"/>
            <w:rFonts w:ascii="Times New Roman" w:hAnsi="Times New Roman" w:cs="Times New Roman"/>
            <w:sz w:val="24"/>
            <w:szCs w:val="24"/>
            <w:lang w:val="en-US"/>
          </w:rPr>
          <w:t>https://www.un.org/unispal/document/auto-insert-210170/</w:t>
        </w:r>
      </w:hyperlink>
      <w:r w:rsidRPr="009E3A67">
        <w:rPr>
          <w:rFonts w:ascii="Times New Roman" w:hAnsi="Times New Roman" w:cs="Times New Roman"/>
          <w:sz w:val="24"/>
          <w:szCs w:val="24"/>
          <w:lang w:val="en-US"/>
        </w:rPr>
        <w:t>. Acesso em 12/01/2022.</w:t>
      </w:r>
    </w:p>
    <w:p w14:paraId="7F52152F"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lang w:val="en-US"/>
        </w:rPr>
      </w:pPr>
    </w:p>
    <w:p w14:paraId="0B03AD67"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CONGRESSO FEDERAL DOS EUA (CF-EUA). </w:t>
      </w:r>
      <w:r w:rsidRPr="009E3A67">
        <w:rPr>
          <w:rFonts w:ascii="Times New Roman" w:hAnsi="Times New Roman" w:cs="Times New Roman"/>
          <w:i/>
          <w:iCs/>
          <w:sz w:val="24"/>
          <w:szCs w:val="24"/>
        </w:rPr>
        <w:t xml:space="preserve">Declaração de Independência dos EUA. </w:t>
      </w:r>
      <w:r w:rsidRPr="009E3A67">
        <w:rPr>
          <w:rFonts w:ascii="Times New Roman" w:hAnsi="Times New Roman" w:cs="Times New Roman"/>
          <w:sz w:val="24"/>
          <w:szCs w:val="24"/>
        </w:rPr>
        <w:t xml:space="preserve">4 jul. 1776. Disponível em: </w:t>
      </w:r>
      <w:hyperlink r:id="rId62" w:history="1">
        <w:r w:rsidRPr="009E3A67">
          <w:rPr>
            <w:rStyle w:val="Hyperlink"/>
            <w:rFonts w:ascii="Times New Roman" w:hAnsi="Times New Roman" w:cs="Times New Roman"/>
            <w:sz w:val="24"/>
            <w:szCs w:val="24"/>
          </w:rPr>
          <w:t>https://billofrightsinstitute.org/primary-sources/declaration-of-independence</w:t>
        </w:r>
      </w:hyperlink>
      <w:r w:rsidRPr="009E3A67">
        <w:rPr>
          <w:rFonts w:ascii="Times New Roman" w:hAnsi="Times New Roman" w:cs="Times New Roman"/>
          <w:sz w:val="24"/>
          <w:szCs w:val="24"/>
        </w:rPr>
        <w:t>. Acesso em 29/07/2023.</w:t>
      </w:r>
    </w:p>
    <w:p w14:paraId="27200FAD"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14062FB9"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eastAsia="pt-PT"/>
        </w:rPr>
        <w:t xml:space="preserve">______. </w:t>
      </w:r>
      <w:r w:rsidRPr="009E3A67">
        <w:rPr>
          <w:rFonts w:ascii="Times New Roman" w:eastAsia="Times New Roman" w:hAnsi="Times New Roman" w:cs="Times New Roman"/>
          <w:i/>
          <w:iCs/>
          <w:sz w:val="24"/>
          <w:szCs w:val="24"/>
          <w:lang w:eastAsia="pt-PT"/>
        </w:rPr>
        <w:t>Constituição dos EUA</w:t>
      </w:r>
      <w:r w:rsidRPr="009E3A67">
        <w:rPr>
          <w:rFonts w:ascii="Times New Roman" w:eastAsia="Times New Roman" w:hAnsi="Times New Roman" w:cs="Times New Roman"/>
          <w:sz w:val="24"/>
          <w:szCs w:val="24"/>
          <w:lang w:eastAsia="pt-PT"/>
        </w:rPr>
        <w:t>. 4 mar. 1789. Disponível em: https://uscode.house.gov/static/constitution.pdf. Acesso em 29/07/2023.</w:t>
      </w:r>
    </w:p>
    <w:p w14:paraId="4C6197CF"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5709C49A"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CONVENÇÃO NACIONAL DE FRANÇA (CNF). </w:t>
      </w:r>
      <w:r w:rsidRPr="009E3A67">
        <w:rPr>
          <w:rFonts w:ascii="Times New Roman" w:hAnsi="Times New Roman" w:cs="Times New Roman"/>
          <w:i/>
          <w:iCs/>
          <w:sz w:val="24"/>
          <w:szCs w:val="24"/>
        </w:rPr>
        <w:t>Ato constitucional de 24 de junho de 1793</w:t>
      </w:r>
      <w:r w:rsidRPr="009E3A67">
        <w:rPr>
          <w:rFonts w:ascii="Times New Roman" w:hAnsi="Times New Roman" w:cs="Times New Roman"/>
          <w:sz w:val="24"/>
          <w:szCs w:val="24"/>
        </w:rPr>
        <w:t>. 24 de jun. 1793. Disponível em: https://oll.libertyfund.org/pages/1793-french-republic-constitution-of-1793?q=Constitution+of+1793. Acesso em 29/07/2023.</w:t>
      </w:r>
    </w:p>
    <w:p w14:paraId="2CC83112"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170F5350"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eastAsia="pt-PT"/>
        </w:rPr>
        <w:t xml:space="preserve">______. </w:t>
      </w:r>
      <w:r w:rsidRPr="009E3A67">
        <w:rPr>
          <w:rFonts w:ascii="Times New Roman" w:eastAsia="Times New Roman" w:hAnsi="Times New Roman" w:cs="Times New Roman"/>
          <w:i/>
          <w:iCs/>
          <w:sz w:val="24"/>
          <w:szCs w:val="24"/>
          <w:lang w:eastAsia="pt-PT"/>
        </w:rPr>
        <w:t>Lei de 4 de fevereiro de 1794 - Abolição da escravatura</w:t>
      </w:r>
      <w:r w:rsidRPr="009E3A67">
        <w:rPr>
          <w:rFonts w:ascii="Times New Roman" w:eastAsia="Times New Roman" w:hAnsi="Times New Roman" w:cs="Times New Roman"/>
          <w:sz w:val="24"/>
          <w:szCs w:val="24"/>
          <w:lang w:eastAsia="pt-PT"/>
        </w:rPr>
        <w:t>. 4 fev. 1794. Disponível em: https://wp.stu.ca/worldhistory/wp-content/uploads/sites/4/2015/07/Abolition-of-Slavery.pdf. Acesso em 29/07/2023.</w:t>
      </w:r>
    </w:p>
    <w:p w14:paraId="41FBDA63"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75F5D5E3"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lang w:val="en-US"/>
        </w:rPr>
      </w:pPr>
      <w:r w:rsidRPr="009E3A67">
        <w:rPr>
          <w:rFonts w:ascii="Times New Roman" w:hAnsi="Times New Roman" w:cs="Times New Roman"/>
          <w:sz w:val="24"/>
          <w:szCs w:val="24"/>
          <w:lang w:val="en-US"/>
        </w:rPr>
        <w:t xml:space="preserve">CONRAD, Joseph. </w:t>
      </w:r>
      <w:r w:rsidRPr="009E3A67">
        <w:rPr>
          <w:rFonts w:ascii="Times New Roman" w:hAnsi="Times New Roman" w:cs="Times New Roman"/>
          <w:i/>
          <w:iCs/>
          <w:sz w:val="24"/>
          <w:szCs w:val="24"/>
          <w:lang w:val="en-US"/>
        </w:rPr>
        <w:t>Heart of Darkness</w:t>
      </w:r>
      <w:r w:rsidRPr="009E3A67">
        <w:rPr>
          <w:rFonts w:ascii="Times New Roman" w:hAnsi="Times New Roman" w:cs="Times New Roman"/>
          <w:sz w:val="24"/>
          <w:szCs w:val="24"/>
          <w:lang w:val="en-US"/>
        </w:rPr>
        <w:t>. Londres: Penguin Classics, 2019 [1899].</w:t>
      </w:r>
    </w:p>
    <w:p w14:paraId="731B6211"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lang w:val="en-US"/>
        </w:rPr>
      </w:pPr>
    </w:p>
    <w:p w14:paraId="7C8E2912" w14:textId="77777777" w:rsidR="00FF4AC8"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CONSELHO DE SEGURANÇA DA ONU (CS-ONU). </w:t>
      </w:r>
      <w:r w:rsidRPr="009E3A67">
        <w:rPr>
          <w:rFonts w:ascii="Times New Roman" w:hAnsi="Times New Roman" w:cs="Times New Roman"/>
          <w:i/>
          <w:iCs/>
          <w:sz w:val="24"/>
          <w:szCs w:val="24"/>
        </w:rPr>
        <w:t xml:space="preserve">Resolução 242 – Condenação da ocupação da Cisjordânia, da Faixa de Gaza, da Península do Sinai e dos Montes Golã por parte de Israel. </w:t>
      </w:r>
      <w:r w:rsidRPr="009E3A67">
        <w:rPr>
          <w:rFonts w:ascii="Times New Roman" w:hAnsi="Times New Roman" w:cs="Times New Roman"/>
          <w:sz w:val="24"/>
          <w:szCs w:val="24"/>
        </w:rPr>
        <w:t>22 nov. 1967. Disponível em:</w:t>
      </w:r>
      <w:r w:rsidRPr="009E3A67">
        <w:rPr>
          <w:rFonts w:ascii="Times New Roman" w:hAnsi="Times New Roman" w:cs="Times New Roman"/>
          <w:i/>
          <w:iCs/>
          <w:sz w:val="24"/>
          <w:szCs w:val="24"/>
        </w:rPr>
        <w:t xml:space="preserve"> </w:t>
      </w:r>
      <w:hyperlink r:id="rId63" w:history="1">
        <w:r w:rsidRPr="009E3A67">
          <w:rPr>
            <w:rStyle w:val="Hyperlink"/>
            <w:rFonts w:ascii="Times New Roman" w:hAnsi="Times New Roman" w:cs="Times New Roman"/>
            <w:sz w:val="24"/>
            <w:szCs w:val="24"/>
          </w:rPr>
          <w:t>https://digitallibrary.un.org/record/90717?ln=en</w:t>
        </w:r>
      </w:hyperlink>
      <w:r w:rsidRPr="009E3A67">
        <w:rPr>
          <w:rFonts w:ascii="Times New Roman" w:hAnsi="Times New Roman" w:cs="Times New Roman"/>
          <w:sz w:val="24"/>
          <w:szCs w:val="24"/>
        </w:rPr>
        <w:t>. Acesso em 12/01/2022.</w:t>
      </w:r>
    </w:p>
    <w:p w14:paraId="6990DB2D" w14:textId="77777777" w:rsidR="003F5FC1" w:rsidRPr="003F5FC1" w:rsidRDefault="003F5FC1" w:rsidP="00553CA3">
      <w:pPr>
        <w:pStyle w:val="PargrafodaLista"/>
        <w:spacing w:after="0" w:line="240" w:lineRule="auto"/>
        <w:ind w:left="0"/>
        <w:rPr>
          <w:rFonts w:ascii="Times New Roman" w:hAnsi="Times New Roman" w:cs="Times New Roman"/>
          <w:sz w:val="24"/>
          <w:szCs w:val="24"/>
        </w:rPr>
      </w:pPr>
    </w:p>
    <w:p w14:paraId="74CAA454" w14:textId="77777777" w:rsidR="00FF4AC8" w:rsidRPr="009E3A67" w:rsidRDefault="00FF4AC8" w:rsidP="00553CA3">
      <w:pPr>
        <w:pStyle w:val="Textodenotaderodap"/>
        <w:numPr>
          <w:ilvl w:val="0"/>
          <w:numId w:val="1"/>
        </w:numPr>
        <w:ind w:left="0" w:firstLine="0"/>
        <w:jc w:val="both"/>
        <w:rPr>
          <w:rFonts w:ascii="Times New Roman" w:hAnsi="Times New Roman" w:cs="Times New Roman"/>
          <w:sz w:val="24"/>
          <w:szCs w:val="24"/>
        </w:rPr>
      </w:pPr>
      <w:r w:rsidRPr="009E3A67">
        <w:rPr>
          <w:rFonts w:ascii="Times New Roman" w:hAnsi="Times New Roman" w:cs="Times New Roman"/>
          <w:sz w:val="24"/>
          <w:szCs w:val="24"/>
          <w:lang w:val="en-US"/>
        </w:rPr>
        <w:t xml:space="preserve">DEFINITIONS of genocide and related crimes. </w:t>
      </w:r>
      <w:r w:rsidRPr="009E3A67">
        <w:rPr>
          <w:rFonts w:ascii="Times New Roman" w:hAnsi="Times New Roman" w:cs="Times New Roman"/>
          <w:i/>
          <w:iCs/>
          <w:sz w:val="24"/>
          <w:szCs w:val="24"/>
          <w:lang w:val="en-US"/>
        </w:rPr>
        <w:t>United Nations</w:t>
      </w:r>
      <w:r w:rsidRPr="009E3A67">
        <w:rPr>
          <w:rFonts w:ascii="Times New Roman" w:hAnsi="Times New Roman" w:cs="Times New Roman"/>
          <w:sz w:val="24"/>
          <w:szCs w:val="24"/>
          <w:lang w:val="en-US"/>
        </w:rPr>
        <w:t xml:space="preserve">, [s.d.]a. </w:t>
      </w:r>
      <w:r w:rsidRPr="009E3A67">
        <w:rPr>
          <w:rFonts w:ascii="Times New Roman" w:hAnsi="Times New Roman" w:cs="Times New Roman"/>
          <w:sz w:val="24"/>
          <w:szCs w:val="24"/>
        </w:rPr>
        <w:t xml:space="preserve">Disponível em: </w:t>
      </w:r>
      <w:hyperlink r:id="rId64" w:history="1">
        <w:r w:rsidRPr="009E3A67">
          <w:rPr>
            <w:rStyle w:val="Hyperlink"/>
            <w:rFonts w:ascii="Times New Roman" w:hAnsi="Times New Roman" w:cs="Times New Roman"/>
            <w:sz w:val="24"/>
            <w:szCs w:val="24"/>
          </w:rPr>
          <w:t>https://www.un.org/en/genocide-prevention/definition</w:t>
        </w:r>
      </w:hyperlink>
      <w:r w:rsidRPr="009E3A67">
        <w:rPr>
          <w:rFonts w:ascii="Times New Roman" w:hAnsi="Times New Roman" w:cs="Times New Roman"/>
          <w:sz w:val="24"/>
          <w:szCs w:val="24"/>
        </w:rPr>
        <w:t>. Acesso em 14/02/2025.</w:t>
      </w:r>
    </w:p>
    <w:p w14:paraId="1D0F100C" w14:textId="77777777" w:rsidR="00FF4AC8" w:rsidRPr="009E3A67" w:rsidRDefault="00FF4AC8" w:rsidP="00553CA3">
      <w:pPr>
        <w:pStyle w:val="Textodenotaderodap"/>
        <w:jc w:val="both"/>
        <w:rPr>
          <w:rFonts w:ascii="Times New Roman" w:hAnsi="Times New Roman" w:cs="Times New Roman"/>
          <w:sz w:val="24"/>
          <w:szCs w:val="24"/>
        </w:rPr>
      </w:pPr>
    </w:p>
    <w:p w14:paraId="65E754A1"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lang w:val="en-US"/>
        </w:rPr>
        <w:t xml:space="preserve">EGHBARIAH, Rabea. Jewishness as Property under Israeli Law. </w:t>
      </w:r>
      <w:r w:rsidRPr="009E3A67">
        <w:rPr>
          <w:rFonts w:ascii="Times New Roman" w:hAnsi="Times New Roman" w:cs="Times New Roman"/>
          <w:i/>
          <w:iCs/>
          <w:sz w:val="24"/>
          <w:szCs w:val="24"/>
        </w:rPr>
        <w:t>LPE Project</w:t>
      </w:r>
      <w:r w:rsidRPr="009E3A67">
        <w:rPr>
          <w:rFonts w:ascii="Times New Roman" w:hAnsi="Times New Roman" w:cs="Times New Roman"/>
          <w:sz w:val="24"/>
          <w:szCs w:val="24"/>
        </w:rPr>
        <w:t xml:space="preserve">, 9 jul. 2021. Disponível em: </w:t>
      </w:r>
      <w:hyperlink r:id="rId65" w:history="1">
        <w:r w:rsidRPr="009E3A67">
          <w:rPr>
            <w:rStyle w:val="Hyperlink"/>
            <w:rFonts w:ascii="Times New Roman" w:hAnsi="Times New Roman" w:cs="Times New Roman"/>
            <w:sz w:val="24"/>
            <w:szCs w:val="24"/>
          </w:rPr>
          <w:t>https://lpeproject.org/blog/jewishness-as-property-under-israeli-law/</w:t>
        </w:r>
      </w:hyperlink>
      <w:r w:rsidRPr="009E3A67">
        <w:rPr>
          <w:rFonts w:ascii="Times New Roman" w:hAnsi="Times New Roman" w:cs="Times New Roman"/>
          <w:sz w:val="24"/>
          <w:szCs w:val="24"/>
        </w:rPr>
        <w:t>. Acesso em 17/12/2022.</w:t>
      </w:r>
    </w:p>
    <w:p w14:paraId="76A68E22"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6EA7B2E6"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lang w:val="en-US"/>
        </w:rPr>
        <w:t xml:space="preserve">ERAKAT, Noura. Beyond Discrimination: Apartheid is a Colonial Project and Zionism is a form of Racism. </w:t>
      </w:r>
      <w:r w:rsidRPr="009E3A67">
        <w:rPr>
          <w:rFonts w:ascii="Times New Roman" w:hAnsi="Times New Roman" w:cs="Times New Roman"/>
          <w:i/>
          <w:iCs/>
          <w:sz w:val="24"/>
          <w:szCs w:val="24"/>
        </w:rPr>
        <w:t>EJIL:Talk!</w:t>
      </w:r>
      <w:r w:rsidRPr="009E3A67">
        <w:rPr>
          <w:rFonts w:ascii="Times New Roman" w:hAnsi="Times New Roman" w:cs="Times New Roman"/>
          <w:sz w:val="24"/>
          <w:szCs w:val="24"/>
        </w:rPr>
        <w:t xml:space="preserve">, 5 jul. 2021. Disponível em: </w:t>
      </w:r>
      <w:hyperlink r:id="rId66" w:history="1">
        <w:r w:rsidRPr="009E3A67">
          <w:rPr>
            <w:rStyle w:val="Hyperlink"/>
            <w:rFonts w:ascii="Times New Roman" w:hAnsi="Times New Roman" w:cs="Times New Roman"/>
            <w:sz w:val="24"/>
            <w:szCs w:val="24"/>
          </w:rPr>
          <w:t>https://www.ejiltalk.org/beyond-discrimination-apartheid-is-a-colonial-project-and-zionism-is-a-form-of-racism/</w:t>
        </w:r>
      </w:hyperlink>
      <w:r w:rsidRPr="009E3A67">
        <w:rPr>
          <w:rFonts w:ascii="Times New Roman" w:hAnsi="Times New Roman" w:cs="Times New Roman"/>
          <w:sz w:val="24"/>
          <w:szCs w:val="24"/>
        </w:rPr>
        <w:t>. Acesso em 17/12/2022.</w:t>
      </w:r>
    </w:p>
    <w:p w14:paraId="328707D5"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01444DF9"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lang w:val="en-US"/>
        </w:rPr>
      </w:pPr>
      <w:r w:rsidRPr="009E3A67">
        <w:rPr>
          <w:rFonts w:ascii="Times New Roman" w:eastAsia="Times New Roman" w:hAnsi="Times New Roman" w:cs="Times New Roman"/>
          <w:sz w:val="24"/>
          <w:szCs w:val="24"/>
          <w:lang w:val="en-US" w:eastAsia="pt-PT"/>
        </w:rPr>
        <w:t>______.</w:t>
      </w:r>
      <w:r w:rsidRPr="009E3A67">
        <w:rPr>
          <w:rFonts w:ascii="Times New Roman" w:hAnsi="Times New Roman" w:cs="Times New Roman"/>
          <w:sz w:val="24"/>
          <w:szCs w:val="24"/>
          <w:lang w:val="en-US"/>
        </w:rPr>
        <w:t xml:space="preserve"> </w:t>
      </w:r>
      <w:r w:rsidRPr="009E3A67">
        <w:rPr>
          <w:rFonts w:ascii="Times New Roman" w:hAnsi="Times New Roman" w:cs="Times New Roman"/>
          <w:i/>
          <w:iCs/>
          <w:sz w:val="24"/>
          <w:szCs w:val="24"/>
          <w:lang w:val="en-US"/>
        </w:rPr>
        <w:t>Justice for some: law and the question of Palestine</w:t>
      </w:r>
      <w:r w:rsidRPr="009E3A67">
        <w:rPr>
          <w:rFonts w:ascii="Times New Roman" w:hAnsi="Times New Roman" w:cs="Times New Roman"/>
          <w:sz w:val="24"/>
          <w:szCs w:val="24"/>
          <w:lang w:val="en-US"/>
        </w:rPr>
        <w:t>. Stanford: Stanford University Press, 2019.</w:t>
      </w:r>
    </w:p>
    <w:p w14:paraId="347009E5"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lang w:val="en-US"/>
        </w:rPr>
      </w:pPr>
    </w:p>
    <w:p w14:paraId="49387820"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lang w:val="en-US"/>
        </w:rPr>
        <w:t xml:space="preserve">“EXISTENTIAL threat”: What next for the ICC after US sanctions?. </w:t>
      </w:r>
      <w:r w:rsidRPr="009E3A67">
        <w:rPr>
          <w:rFonts w:ascii="Times New Roman" w:hAnsi="Times New Roman" w:cs="Times New Roman"/>
          <w:i/>
          <w:iCs/>
          <w:sz w:val="24"/>
          <w:szCs w:val="24"/>
        </w:rPr>
        <w:t>France24</w:t>
      </w:r>
      <w:r w:rsidRPr="009E3A67">
        <w:rPr>
          <w:rFonts w:ascii="Times New Roman" w:hAnsi="Times New Roman" w:cs="Times New Roman"/>
          <w:sz w:val="24"/>
          <w:szCs w:val="24"/>
        </w:rPr>
        <w:t xml:space="preserve">,  7 fev. 2025. Disponível em: </w:t>
      </w:r>
      <w:hyperlink r:id="rId67" w:history="1">
        <w:r w:rsidRPr="009E3A67">
          <w:rPr>
            <w:rStyle w:val="Hyperlink"/>
            <w:rFonts w:ascii="Times New Roman" w:hAnsi="Times New Roman" w:cs="Times New Roman"/>
            <w:sz w:val="24"/>
            <w:szCs w:val="24"/>
          </w:rPr>
          <w:t>https://www.france24.com/en/live-news/20250207-existential-threat-what-next-for-the-icc-after-us-sanctions</w:t>
        </w:r>
      </w:hyperlink>
      <w:r w:rsidRPr="009E3A67">
        <w:rPr>
          <w:rFonts w:ascii="Times New Roman" w:hAnsi="Times New Roman" w:cs="Times New Roman"/>
          <w:sz w:val="24"/>
          <w:szCs w:val="24"/>
        </w:rPr>
        <w:t>. Acesso em: 07/02/2025.</w:t>
      </w:r>
    </w:p>
    <w:p w14:paraId="1665321E"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43405375"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FALLACI, Oriana. </w:t>
      </w:r>
      <w:r w:rsidRPr="009E3A67">
        <w:rPr>
          <w:rFonts w:ascii="Times New Roman" w:hAnsi="Times New Roman" w:cs="Times New Roman"/>
          <w:i/>
          <w:iCs/>
          <w:sz w:val="24"/>
          <w:szCs w:val="24"/>
        </w:rPr>
        <w:t>Entrevista com a História</w:t>
      </w:r>
      <w:r w:rsidRPr="009E3A67">
        <w:rPr>
          <w:rFonts w:ascii="Times New Roman" w:hAnsi="Times New Roman" w:cs="Times New Roman"/>
          <w:sz w:val="24"/>
          <w:szCs w:val="24"/>
        </w:rPr>
        <w:t>. Tradução: Virgílio Martinho. Lisboa: Círculo de Leitores, 1975.</w:t>
      </w:r>
    </w:p>
    <w:p w14:paraId="15CE8FF1"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3074BB43"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FANON, Franz. </w:t>
      </w:r>
      <w:r w:rsidRPr="009E3A67">
        <w:rPr>
          <w:rFonts w:ascii="Times New Roman" w:hAnsi="Times New Roman" w:cs="Times New Roman"/>
          <w:i/>
          <w:iCs/>
          <w:sz w:val="24"/>
          <w:szCs w:val="24"/>
        </w:rPr>
        <w:t>Os Condenados da Terra</w:t>
      </w:r>
      <w:r w:rsidRPr="009E3A67">
        <w:rPr>
          <w:rFonts w:ascii="Times New Roman" w:hAnsi="Times New Roman" w:cs="Times New Roman"/>
          <w:sz w:val="24"/>
          <w:szCs w:val="24"/>
        </w:rPr>
        <w:t>. Tradução: António Massano. Lisboa: Letra Livre, 2015 [1961].</w:t>
      </w:r>
    </w:p>
    <w:p w14:paraId="0940C159"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14463C2A"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FOUCAULT, Michel. </w:t>
      </w:r>
      <w:r w:rsidRPr="009E3A67">
        <w:rPr>
          <w:rFonts w:ascii="Times New Roman" w:eastAsia="Times New Roman" w:hAnsi="Times New Roman" w:cs="Times New Roman"/>
          <w:i/>
          <w:iCs/>
          <w:sz w:val="24"/>
          <w:szCs w:val="24"/>
          <w:lang w:eastAsia="pt-PT"/>
        </w:rPr>
        <w:t>O nascimento da biopolítica</w:t>
      </w:r>
      <w:r w:rsidRPr="009E3A67">
        <w:rPr>
          <w:rFonts w:ascii="Times New Roman" w:eastAsia="Times New Roman" w:hAnsi="Times New Roman" w:cs="Times New Roman"/>
          <w:sz w:val="24"/>
          <w:szCs w:val="24"/>
          <w:lang w:eastAsia="pt-PT"/>
        </w:rPr>
        <w:t>. Tradução: Pedro Elói Duarte. Lisboa: Edições 70, 2010.</w:t>
      </w:r>
    </w:p>
    <w:p w14:paraId="657EE003"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4F64BB3D"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GABINETE CENTRAL DE ESTATÍSTICAS DE ISRAEL (GCEI). </w:t>
      </w:r>
      <w:r w:rsidRPr="009E3A67">
        <w:rPr>
          <w:rFonts w:ascii="Times New Roman" w:eastAsia="Times New Roman" w:hAnsi="Times New Roman" w:cs="Times New Roman"/>
          <w:i/>
          <w:iCs/>
          <w:sz w:val="24"/>
          <w:szCs w:val="24"/>
          <w:lang w:eastAsia="pt-PT"/>
        </w:rPr>
        <w:t>Immigration</w:t>
      </w:r>
      <w:r w:rsidRPr="009E3A67">
        <w:rPr>
          <w:rFonts w:ascii="Times New Roman" w:eastAsia="Times New Roman" w:hAnsi="Times New Roman" w:cs="Times New Roman"/>
          <w:sz w:val="24"/>
          <w:szCs w:val="24"/>
          <w:lang w:eastAsia="pt-PT"/>
        </w:rPr>
        <w:t xml:space="preserve">. </w:t>
      </w:r>
      <w:r w:rsidRPr="009E3A67">
        <w:rPr>
          <w:rFonts w:ascii="Times New Roman" w:eastAsia="Times New Roman" w:hAnsi="Times New Roman" w:cs="Times New Roman"/>
          <w:i/>
          <w:iCs/>
          <w:sz w:val="24"/>
          <w:szCs w:val="24"/>
          <w:lang w:eastAsia="pt-PT"/>
        </w:rPr>
        <w:t xml:space="preserve"> </w:t>
      </w:r>
      <w:r w:rsidRPr="009E3A67">
        <w:rPr>
          <w:rFonts w:ascii="Times New Roman" w:eastAsia="Times New Roman" w:hAnsi="Times New Roman" w:cs="Times New Roman"/>
          <w:sz w:val="24"/>
          <w:szCs w:val="24"/>
          <w:lang w:eastAsia="pt-PT"/>
        </w:rPr>
        <w:t>5 jul. 2018. Disponível em:</w:t>
      </w:r>
      <w:r w:rsidRPr="009E3A67">
        <w:rPr>
          <w:rFonts w:ascii="Times New Roman" w:eastAsia="Times New Roman" w:hAnsi="Times New Roman" w:cs="Times New Roman"/>
          <w:i/>
          <w:iCs/>
          <w:sz w:val="24"/>
          <w:szCs w:val="24"/>
          <w:lang w:eastAsia="pt-PT"/>
        </w:rPr>
        <w:t xml:space="preserve"> </w:t>
      </w:r>
      <w:r w:rsidRPr="009E3A67">
        <w:rPr>
          <w:rFonts w:ascii="Times New Roman" w:eastAsia="Times New Roman" w:hAnsi="Times New Roman" w:cs="Times New Roman"/>
          <w:sz w:val="24"/>
          <w:szCs w:val="24"/>
          <w:lang w:eastAsia="pt-PT"/>
        </w:rPr>
        <w:t xml:space="preserve"> </w:t>
      </w:r>
      <w:r w:rsidRPr="009E3A67">
        <w:rPr>
          <w:rStyle w:val="Hyperlink"/>
          <w:rFonts w:ascii="Times New Roman" w:eastAsia="Times New Roman" w:hAnsi="Times New Roman" w:cs="Times New Roman"/>
          <w:sz w:val="24"/>
          <w:szCs w:val="24"/>
          <w:lang w:eastAsia="pt-PT"/>
        </w:rPr>
        <w:t>https://www.cbs.gov.il/en/mediarelease/Pages/2018/Immigration-To-Israel-2017.aspx</w:t>
      </w:r>
      <w:r w:rsidRPr="009E3A67">
        <w:rPr>
          <w:rFonts w:ascii="Times New Roman" w:eastAsia="Times New Roman" w:hAnsi="Times New Roman" w:cs="Times New Roman"/>
          <w:sz w:val="24"/>
          <w:szCs w:val="24"/>
          <w:lang w:eastAsia="pt-PT"/>
        </w:rPr>
        <w:t>. Acesso em 20/03/2021.</w:t>
      </w:r>
    </w:p>
    <w:p w14:paraId="666FFF6E"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71A70ADB"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GARBETT, Lucy. I live in Sheikh Jarrah. For Palestinians, this is not a “real estate dispute”. </w:t>
      </w:r>
      <w:r w:rsidRPr="009E3A67">
        <w:rPr>
          <w:rFonts w:ascii="Times New Roman" w:eastAsia="Times New Roman" w:hAnsi="Times New Roman" w:cs="Times New Roman"/>
          <w:i/>
          <w:iCs/>
          <w:sz w:val="24"/>
          <w:szCs w:val="24"/>
          <w:lang w:eastAsia="pt-PT"/>
        </w:rPr>
        <w:t>The Guardian</w:t>
      </w:r>
      <w:r w:rsidRPr="009E3A67">
        <w:rPr>
          <w:rFonts w:ascii="Times New Roman" w:eastAsia="Times New Roman" w:hAnsi="Times New Roman" w:cs="Times New Roman"/>
          <w:sz w:val="24"/>
          <w:szCs w:val="24"/>
          <w:lang w:eastAsia="pt-PT"/>
        </w:rPr>
        <w:t xml:space="preserve">, 17 mai. 2021. Disponível em: </w:t>
      </w:r>
      <w:hyperlink r:id="rId68" w:history="1">
        <w:r w:rsidRPr="009E3A67">
          <w:rPr>
            <w:rStyle w:val="Hyperlink"/>
            <w:rFonts w:ascii="Times New Roman" w:eastAsia="Times New Roman" w:hAnsi="Times New Roman" w:cs="Times New Roman"/>
            <w:sz w:val="24"/>
            <w:szCs w:val="24"/>
            <w:lang w:eastAsia="pt-PT"/>
          </w:rPr>
          <w:t>https://www.theguardian.com/commentisfree/2021/may/17/palestinians-sheikh-jarrah-jerusalem-city-identity</w:t>
        </w:r>
      </w:hyperlink>
      <w:r w:rsidRPr="009E3A67">
        <w:rPr>
          <w:rFonts w:ascii="Times New Roman" w:eastAsia="Times New Roman" w:hAnsi="Times New Roman" w:cs="Times New Roman"/>
          <w:sz w:val="24"/>
          <w:szCs w:val="24"/>
          <w:lang w:eastAsia="pt-PT"/>
        </w:rPr>
        <w:t>. Acesso: 18/05/2021.</w:t>
      </w:r>
    </w:p>
    <w:p w14:paraId="305862FA"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49D9EE8E" w14:textId="77777777" w:rsidR="00FF4AC8"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GENERAL Assembly grants Palestine non-member observer state status at UN. </w:t>
      </w:r>
      <w:r w:rsidRPr="009E3A67">
        <w:rPr>
          <w:rFonts w:ascii="Times New Roman" w:eastAsia="Times New Roman" w:hAnsi="Times New Roman" w:cs="Times New Roman"/>
          <w:i/>
          <w:iCs/>
          <w:sz w:val="24"/>
          <w:szCs w:val="24"/>
          <w:lang w:eastAsia="pt-PT"/>
        </w:rPr>
        <w:t>UN News</w:t>
      </w:r>
      <w:r w:rsidRPr="009E3A67">
        <w:rPr>
          <w:rFonts w:ascii="Times New Roman" w:eastAsia="Times New Roman" w:hAnsi="Times New Roman" w:cs="Times New Roman"/>
          <w:sz w:val="24"/>
          <w:szCs w:val="24"/>
          <w:lang w:eastAsia="pt-PT"/>
        </w:rPr>
        <w:t xml:space="preserve">, 29 nov. 2012. Disponível em: </w:t>
      </w:r>
      <w:hyperlink r:id="rId69" w:history="1">
        <w:r w:rsidRPr="009E3A67">
          <w:rPr>
            <w:rStyle w:val="Hyperlink"/>
            <w:rFonts w:ascii="Times New Roman" w:eastAsia="Times New Roman" w:hAnsi="Times New Roman" w:cs="Times New Roman"/>
            <w:sz w:val="24"/>
            <w:szCs w:val="24"/>
            <w:lang w:eastAsia="pt-PT"/>
          </w:rPr>
          <w:t>https://news.un.org/en/story/2012/11/427052</w:t>
        </w:r>
      </w:hyperlink>
      <w:r w:rsidRPr="009E3A67">
        <w:rPr>
          <w:rFonts w:ascii="Times New Roman" w:eastAsia="Times New Roman" w:hAnsi="Times New Roman" w:cs="Times New Roman"/>
          <w:sz w:val="24"/>
          <w:szCs w:val="24"/>
          <w:lang w:eastAsia="pt-PT"/>
        </w:rPr>
        <w:t>. Acesso em 18/05/2021.</w:t>
      </w:r>
    </w:p>
    <w:p w14:paraId="0EEEE0D3" w14:textId="77777777" w:rsidR="003F5FC1" w:rsidRPr="003F5FC1" w:rsidRDefault="003F5FC1" w:rsidP="00553CA3">
      <w:pPr>
        <w:pStyle w:val="PargrafodaLista"/>
        <w:spacing w:after="0" w:line="240" w:lineRule="auto"/>
        <w:ind w:left="0"/>
        <w:rPr>
          <w:rFonts w:ascii="Times New Roman" w:eastAsia="Times New Roman" w:hAnsi="Times New Roman" w:cs="Times New Roman"/>
          <w:sz w:val="24"/>
          <w:szCs w:val="24"/>
          <w:lang w:eastAsia="pt-PT"/>
        </w:rPr>
      </w:pPr>
    </w:p>
    <w:p w14:paraId="48A1A057"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GENERAL Assembly of the United Nations. </w:t>
      </w:r>
      <w:r w:rsidRPr="009E3A67">
        <w:rPr>
          <w:rFonts w:ascii="Times New Roman" w:eastAsia="Times New Roman" w:hAnsi="Times New Roman" w:cs="Times New Roman"/>
          <w:i/>
          <w:iCs/>
          <w:sz w:val="24"/>
          <w:szCs w:val="24"/>
          <w:lang w:val="en-US" w:eastAsia="pt-PT"/>
        </w:rPr>
        <w:t>United Nations</w:t>
      </w:r>
      <w:r w:rsidRPr="009E3A67">
        <w:rPr>
          <w:rFonts w:ascii="Times New Roman" w:eastAsia="Times New Roman" w:hAnsi="Times New Roman" w:cs="Times New Roman"/>
          <w:sz w:val="24"/>
          <w:szCs w:val="24"/>
          <w:lang w:val="en-US" w:eastAsia="pt-PT"/>
        </w:rPr>
        <w:t xml:space="preserve">, [s.d.]b. </w:t>
      </w:r>
      <w:r w:rsidRPr="009E3A67">
        <w:rPr>
          <w:rFonts w:ascii="Times New Roman" w:eastAsia="Times New Roman" w:hAnsi="Times New Roman" w:cs="Times New Roman"/>
          <w:sz w:val="24"/>
          <w:szCs w:val="24"/>
          <w:lang w:eastAsia="pt-PT"/>
        </w:rPr>
        <w:t>Disponível em: https://www.un.org/en/ga/about/background.shtml. Acesso em 14/02/2025.</w:t>
      </w:r>
    </w:p>
    <w:p w14:paraId="7B9112E0"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078E2373"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GILMORE, Ruth Wilson. </w:t>
      </w:r>
      <w:r w:rsidRPr="009E3A67">
        <w:rPr>
          <w:rFonts w:ascii="Times New Roman" w:eastAsia="Times New Roman" w:hAnsi="Times New Roman" w:cs="Times New Roman"/>
          <w:i/>
          <w:iCs/>
          <w:sz w:val="24"/>
          <w:szCs w:val="24"/>
          <w:lang w:val="en-US" w:eastAsia="pt-PT"/>
        </w:rPr>
        <w:t>Abolition Geography: Essays Towards Liberation</w:t>
      </w:r>
      <w:r w:rsidRPr="009E3A67">
        <w:rPr>
          <w:rFonts w:ascii="Times New Roman" w:eastAsia="Times New Roman" w:hAnsi="Times New Roman" w:cs="Times New Roman"/>
          <w:sz w:val="24"/>
          <w:szCs w:val="24"/>
          <w:lang w:val="en-US" w:eastAsia="pt-PT"/>
        </w:rPr>
        <w:t>. Londres: Verso, 2022.</w:t>
      </w:r>
    </w:p>
    <w:p w14:paraId="72F2A0DB"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6111E698"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hAnsi="Times New Roman" w:cs="Times New Roman"/>
          <w:sz w:val="24"/>
          <w:szCs w:val="24"/>
        </w:rPr>
        <w:t xml:space="preserve">GOVERNO DA SUÍÇA (GS). </w:t>
      </w:r>
      <w:r w:rsidRPr="009E3A67">
        <w:rPr>
          <w:rFonts w:ascii="Times New Roman" w:hAnsi="Times New Roman" w:cs="Times New Roman"/>
          <w:i/>
          <w:iCs/>
          <w:sz w:val="24"/>
          <w:szCs w:val="24"/>
        </w:rPr>
        <w:t xml:space="preserve">Convenções de Genebra. </w:t>
      </w:r>
      <w:r w:rsidRPr="009E3A67">
        <w:rPr>
          <w:rFonts w:ascii="Times New Roman" w:hAnsi="Times New Roman" w:cs="Times New Roman"/>
          <w:sz w:val="24"/>
          <w:szCs w:val="24"/>
        </w:rPr>
        <w:t xml:space="preserve">12 ago. 1949. Disponível em: </w:t>
      </w:r>
      <w:r w:rsidRPr="009E3A67">
        <w:rPr>
          <w:rFonts w:ascii="Times New Roman" w:hAnsi="Times New Roman" w:cs="Times New Roman"/>
          <w:i/>
          <w:iCs/>
          <w:sz w:val="24"/>
          <w:szCs w:val="24"/>
        </w:rPr>
        <w:t xml:space="preserve"> </w:t>
      </w:r>
      <w:hyperlink r:id="rId70" w:history="1">
        <w:r w:rsidRPr="009E3A67">
          <w:rPr>
            <w:rStyle w:val="Hyperlink"/>
            <w:rFonts w:ascii="Times New Roman" w:hAnsi="Times New Roman" w:cs="Times New Roman"/>
            <w:sz w:val="24"/>
            <w:szCs w:val="24"/>
          </w:rPr>
          <w:t>https://treaties.un.org/doc/Publication/UNTS/Volume%2075/volume-75-I-973-English.pdf</w:t>
        </w:r>
      </w:hyperlink>
      <w:r w:rsidRPr="009E3A67">
        <w:rPr>
          <w:rFonts w:ascii="Times New Roman" w:hAnsi="Times New Roman" w:cs="Times New Roman"/>
          <w:sz w:val="24"/>
          <w:szCs w:val="24"/>
        </w:rPr>
        <w:t>. Acesso em 14/02/2025.</w:t>
      </w:r>
    </w:p>
    <w:p w14:paraId="06C84AEF"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4CEF7403"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HARRIS, Cheryl. </w:t>
      </w:r>
      <w:r w:rsidRPr="009E3A67">
        <w:rPr>
          <w:rFonts w:ascii="Times New Roman" w:eastAsia="Times New Roman" w:hAnsi="Times New Roman" w:cs="Times New Roman"/>
          <w:i/>
          <w:iCs/>
          <w:sz w:val="24"/>
          <w:szCs w:val="24"/>
          <w:lang w:val="en-US" w:eastAsia="pt-PT"/>
        </w:rPr>
        <w:t>Whiteness as Property</w:t>
      </w:r>
      <w:r w:rsidRPr="009E3A67">
        <w:rPr>
          <w:rFonts w:ascii="Times New Roman" w:eastAsia="Times New Roman" w:hAnsi="Times New Roman" w:cs="Times New Roman"/>
          <w:sz w:val="24"/>
          <w:szCs w:val="24"/>
          <w:lang w:val="en-US" w:eastAsia="pt-PT"/>
        </w:rPr>
        <w:t xml:space="preserve">. Harvard Law Review. V. 106, n. 8, pp. 1707-1791, 1993. </w:t>
      </w:r>
      <w:hyperlink r:id="rId71" w:history="1">
        <w:r w:rsidRPr="009E3A67">
          <w:rPr>
            <w:rStyle w:val="Hyperlink"/>
            <w:rFonts w:ascii="Times New Roman" w:eastAsia="Times New Roman" w:hAnsi="Times New Roman" w:cs="Times New Roman"/>
            <w:sz w:val="24"/>
            <w:szCs w:val="24"/>
            <w:lang w:val="en-US" w:eastAsia="pt-PT"/>
          </w:rPr>
          <w:t>https://doi.org/10.2307/1341787</w:t>
        </w:r>
      </w:hyperlink>
      <w:r w:rsidRPr="009E3A67">
        <w:rPr>
          <w:rFonts w:ascii="Times New Roman" w:eastAsia="Times New Roman" w:hAnsi="Times New Roman" w:cs="Times New Roman"/>
          <w:sz w:val="24"/>
          <w:szCs w:val="24"/>
          <w:u w:val="single"/>
          <w:lang w:val="en-US" w:eastAsia="pt-PT"/>
        </w:rPr>
        <w:t>.</w:t>
      </w:r>
    </w:p>
    <w:p w14:paraId="194271FB"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251B6A53"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val="en-US" w:eastAsia="pt-PT"/>
        </w:rPr>
        <w:t xml:space="preserve">HELLER, Jeffrey. Netanyahu holds out Israeli haven for French Jews. </w:t>
      </w:r>
      <w:r w:rsidRPr="009E3A67">
        <w:rPr>
          <w:rFonts w:ascii="Times New Roman" w:eastAsia="Times New Roman" w:hAnsi="Times New Roman" w:cs="Times New Roman"/>
          <w:i/>
          <w:iCs/>
          <w:sz w:val="24"/>
          <w:szCs w:val="24"/>
          <w:lang w:eastAsia="pt-PT"/>
        </w:rPr>
        <w:t>Reuters</w:t>
      </w:r>
      <w:r w:rsidRPr="009E3A67">
        <w:rPr>
          <w:rFonts w:ascii="Times New Roman" w:eastAsia="Times New Roman" w:hAnsi="Times New Roman" w:cs="Times New Roman"/>
          <w:sz w:val="24"/>
          <w:szCs w:val="24"/>
          <w:lang w:eastAsia="pt-PT"/>
        </w:rPr>
        <w:t xml:space="preserve">, 11 jan. 2015. Disponível em: </w:t>
      </w:r>
      <w:hyperlink r:id="rId72" w:history="1">
        <w:r w:rsidRPr="009E3A67">
          <w:rPr>
            <w:rStyle w:val="Hyperlink"/>
            <w:rFonts w:ascii="Times New Roman" w:hAnsi="Times New Roman" w:cs="Times New Roman"/>
            <w:sz w:val="24"/>
            <w:szCs w:val="24"/>
          </w:rPr>
          <w:t>https://www.reuters.com/article/us-france-shooting-israel-idUSKBN0KK0G820150111</w:t>
        </w:r>
      </w:hyperlink>
      <w:r w:rsidRPr="009E3A67">
        <w:rPr>
          <w:rFonts w:ascii="Times New Roman" w:hAnsi="Times New Roman" w:cs="Times New Roman"/>
          <w:sz w:val="24"/>
          <w:szCs w:val="24"/>
        </w:rPr>
        <w:t>. Acesso em 17/12/2021.</w:t>
      </w:r>
    </w:p>
    <w:p w14:paraId="27CAB836"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2709C317"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HERZL, Theodor. </w:t>
      </w:r>
      <w:r w:rsidRPr="009E3A67">
        <w:rPr>
          <w:rFonts w:ascii="Times New Roman" w:eastAsia="Times New Roman" w:hAnsi="Times New Roman" w:cs="Times New Roman"/>
          <w:i/>
          <w:iCs/>
          <w:sz w:val="24"/>
          <w:szCs w:val="24"/>
          <w:lang w:val="en-US" w:eastAsia="pt-PT"/>
        </w:rPr>
        <w:t>The Jewish State</w:t>
      </w:r>
      <w:r w:rsidRPr="009E3A67">
        <w:rPr>
          <w:rFonts w:ascii="Times New Roman" w:eastAsia="Times New Roman" w:hAnsi="Times New Roman" w:cs="Times New Roman"/>
          <w:sz w:val="24"/>
          <w:szCs w:val="24"/>
          <w:lang w:val="en-US" w:eastAsia="pt-PT"/>
        </w:rPr>
        <w:t>. Kansas: Digireads.Com, 2011 [1896].</w:t>
      </w:r>
    </w:p>
    <w:p w14:paraId="3C8E0A2B"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3028F208"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HOBSBAWM, Eric J. </w:t>
      </w:r>
      <w:r w:rsidRPr="009E3A67">
        <w:rPr>
          <w:rFonts w:ascii="Times New Roman" w:eastAsia="Times New Roman" w:hAnsi="Times New Roman" w:cs="Times New Roman"/>
          <w:i/>
          <w:iCs/>
          <w:sz w:val="24"/>
          <w:szCs w:val="24"/>
          <w:lang w:eastAsia="pt-PT"/>
        </w:rPr>
        <w:t>A era das revoluções: 1789-1848</w:t>
      </w:r>
      <w:r w:rsidRPr="009E3A67">
        <w:rPr>
          <w:rFonts w:ascii="Times New Roman" w:eastAsia="Times New Roman" w:hAnsi="Times New Roman" w:cs="Times New Roman"/>
          <w:sz w:val="24"/>
          <w:szCs w:val="24"/>
          <w:lang w:eastAsia="pt-PT"/>
        </w:rPr>
        <w:t>. Tradução: António Cartaxo. Barcarena: Editorial Presença, 2012.</w:t>
      </w:r>
    </w:p>
    <w:p w14:paraId="2DD9F1A7"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1D1857DB"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HUMAN RIGHTS WATCH (HRW). </w:t>
      </w:r>
      <w:r w:rsidRPr="009E3A67">
        <w:rPr>
          <w:rFonts w:ascii="Times New Roman" w:eastAsia="Times New Roman" w:hAnsi="Times New Roman" w:cs="Times New Roman"/>
          <w:i/>
          <w:iCs/>
          <w:sz w:val="24"/>
          <w:szCs w:val="24"/>
          <w:lang w:val="en-US" w:eastAsia="pt-PT"/>
        </w:rPr>
        <w:t>Israel’s Crime of Extermination, Acts of Genocide in Gaza</w:t>
      </w:r>
      <w:r w:rsidRPr="009E3A67">
        <w:rPr>
          <w:rFonts w:ascii="Times New Roman" w:eastAsia="Times New Roman" w:hAnsi="Times New Roman" w:cs="Times New Roman"/>
          <w:sz w:val="24"/>
          <w:szCs w:val="24"/>
          <w:lang w:val="en-US" w:eastAsia="pt-PT"/>
        </w:rPr>
        <w:t xml:space="preserve">. 19 dez. 2024. </w:t>
      </w:r>
      <w:r w:rsidRPr="009E3A67">
        <w:rPr>
          <w:rFonts w:ascii="Times New Roman" w:eastAsia="Times New Roman" w:hAnsi="Times New Roman" w:cs="Times New Roman"/>
          <w:sz w:val="24"/>
          <w:szCs w:val="24"/>
          <w:lang w:eastAsia="pt-PT"/>
        </w:rPr>
        <w:t xml:space="preserve">Disponível em: </w:t>
      </w:r>
      <w:hyperlink r:id="rId73" w:history="1">
        <w:r w:rsidRPr="009E3A67">
          <w:rPr>
            <w:rStyle w:val="Hyperlink"/>
            <w:rFonts w:ascii="Times New Roman" w:eastAsia="Times New Roman" w:hAnsi="Times New Roman" w:cs="Times New Roman"/>
            <w:sz w:val="24"/>
            <w:szCs w:val="24"/>
            <w:lang w:eastAsia="pt-PT"/>
          </w:rPr>
          <w:t>https://www.hrw.org/news/2024/12/19/israels-crime-extermination-acts-genocide-gaza. Acesso em 20/12/2024</w:t>
        </w:r>
      </w:hyperlink>
      <w:r w:rsidRPr="009E3A67">
        <w:rPr>
          <w:rFonts w:ascii="Times New Roman" w:eastAsia="Times New Roman" w:hAnsi="Times New Roman" w:cs="Times New Roman"/>
          <w:sz w:val="24"/>
          <w:szCs w:val="24"/>
          <w:lang w:eastAsia="pt-PT"/>
        </w:rPr>
        <w:t>.</w:t>
      </w:r>
    </w:p>
    <w:p w14:paraId="49EF2B46"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775BF78A" w14:textId="77777777" w:rsidR="00FF4AC8" w:rsidRPr="009E3A67" w:rsidRDefault="00FF4AC8" w:rsidP="00553CA3">
      <w:pPr>
        <w:pStyle w:val="Textodenotaderodap"/>
        <w:numPr>
          <w:ilvl w:val="0"/>
          <w:numId w:val="1"/>
        </w:numPr>
        <w:ind w:left="0" w:firstLine="0"/>
        <w:jc w:val="both"/>
        <w:rPr>
          <w:rFonts w:ascii="Times New Roman" w:hAnsi="Times New Roman" w:cs="Times New Roman"/>
          <w:sz w:val="24"/>
          <w:szCs w:val="24"/>
        </w:rPr>
      </w:pPr>
      <w:r w:rsidRPr="009E3A67">
        <w:rPr>
          <w:rFonts w:ascii="Times New Roman" w:hAnsi="Times New Roman" w:cs="Times New Roman"/>
          <w:sz w:val="24"/>
          <w:szCs w:val="24"/>
          <w:lang w:val="en-US"/>
        </w:rPr>
        <w:t xml:space="preserve">ISRAEL’S genocide in gaza: The Latest Episode in the Ongoing Nakba Against the Palestinian People. </w:t>
      </w:r>
      <w:r w:rsidRPr="009E3A67">
        <w:rPr>
          <w:rFonts w:ascii="Times New Roman" w:hAnsi="Times New Roman" w:cs="Times New Roman"/>
          <w:i/>
          <w:iCs/>
          <w:sz w:val="24"/>
          <w:szCs w:val="24"/>
        </w:rPr>
        <w:t>Al-Haq</w:t>
      </w:r>
      <w:r w:rsidRPr="009E3A67">
        <w:rPr>
          <w:rFonts w:ascii="Times New Roman" w:hAnsi="Times New Roman" w:cs="Times New Roman"/>
          <w:sz w:val="24"/>
          <w:szCs w:val="24"/>
        </w:rPr>
        <w:t xml:space="preserve">, 15 mai. 2024. Disponível em:  </w:t>
      </w:r>
      <w:hyperlink r:id="rId74" w:history="1">
        <w:r w:rsidRPr="009E3A67">
          <w:rPr>
            <w:rStyle w:val="Hyperlink"/>
            <w:rFonts w:ascii="Times New Roman" w:hAnsi="Times New Roman" w:cs="Times New Roman"/>
            <w:sz w:val="24"/>
            <w:szCs w:val="24"/>
          </w:rPr>
          <w:t>https://www.alhaq.org/advocacy/23099.html</w:t>
        </w:r>
      </w:hyperlink>
      <w:r w:rsidRPr="009E3A67">
        <w:rPr>
          <w:rFonts w:ascii="Times New Roman" w:hAnsi="Times New Roman" w:cs="Times New Roman"/>
          <w:sz w:val="24"/>
          <w:szCs w:val="24"/>
        </w:rPr>
        <w:t>. Acesso em 14/02/2025.</w:t>
      </w:r>
    </w:p>
    <w:p w14:paraId="1E34648B"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5B01E244"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lang w:val="en-US"/>
        </w:rPr>
      </w:pPr>
      <w:r w:rsidRPr="009E3A67">
        <w:rPr>
          <w:rFonts w:ascii="Times New Roman" w:hAnsi="Times New Roman" w:cs="Times New Roman"/>
          <w:sz w:val="24"/>
          <w:szCs w:val="24"/>
          <w:lang w:val="en-US"/>
        </w:rPr>
        <w:t xml:space="preserve">KANAFANI, Ghassan. </w:t>
      </w:r>
      <w:r w:rsidRPr="009E3A67">
        <w:rPr>
          <w:rFonts w:ascii="Times New Roman" w:hAnsi="Times New Roman" w:cs="Times New Roman"/>
          <w:i/>
          <w:iCs/>
          <w:sz w:val="24"/>
          <w:szCs w:val="24"/>
          <w:lang w:val="en-US"/>
        </w:rPr>
        <w:t>A World Not Ours</w:t>
      </w:r>
      <w:r w:rsidRPr="009E3A67">
        <w:rPr>
          <w:rFonts w:ascii="Times New Roman" w:hAnsi="Times New Roman" w:cs="Times New Roman"/>
          <w:sz w:val="24"/>
          <w:szCs w:val="24"/>
          <w:lang w:val="en-US"/>
        </w:rPr>
        <w:t>. Limassol: Rimal Publications, 2013.</w:t>
      </w:r>
    </w:p>
    <w:p w14:paraId="72522643"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lang w:val="en-US"/>
        </w:rPr>
      </w:pPr>
    </w:p>
    <w:p w14:paraId="5492D731"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KHALIDI, Rashid. </w:t>
      </w:r>
      <w:r w:rsidRPr="009E3A67">
        <w:rPr>
          <w:rFonts w:ascii="Times New Roman" w:eastAsia="Times New Roman" w:hAnsi="Times New Roman" w:cs="Times New Roman"/>
          <w:i/>
          <w:iCs/>
          <w:sz w:val="24"/>
          <w:szCs w:val="24"/>
          <w:lang w:val="en-US" w:eastAsia="pt-PT"/>
        </w:rPr>
        <w:t>The Hundred Years’ War on Palestine: A History of Settler Colonial Conquest and Resistance</w:t>
      </w:r>
      <w:r w:rsidRPr="009E3A67">
        <w:rPr>
          <w:rFonts w:ascii="Times New Roman" w:eastAsia="Times New Roman" w:hAnsi="Times New Roman" w:cs="Times New Roman"/>
          <w:sz w:val="24"/>
          <w:szCs w:val="24"/>
          <w:lang w:val="en-US" w:eastAsia="pt-PT"/>
        </w:rPr>
        <w:t>. Londres: Profile Books, 2020.</w:t>
      </w:r>
    </w:p>
    <w:p w14:paraId="20566093"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2CC39EDA"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KHALIDI, Walid (org.). </w:t>
      </w:r>
      <w:r w:rsidRPr="009E3A67">
        <w:rPr>
          <w:rFonts w:ascii="Times New Roman" w:eastAsia="Times New Roman" w:hAnsi="Times New Roman" w:cs="Times New Roman"/>
          <w:i/>
          <w:iCs/>
          <w:sz w:val="24"/>
          <w:szCs w:val="24"/>
          <w:lang w:val="en-US" w:eastAsia="pt-PT"/>
        </w:rPr>
        <w:t>All that remains: The palestinian villages occupied and depopulated by Israel in 1948</w:t>
      </w:r>
      <w:r w:rsidRPr="009E3A67">
        <w:rPr>
          <w:rFonts w:ascii="Times New Roman" w:eastAsia="Times New Roman" w:hAnsi="Times New Roman" w:cs="Times New Roman"/>
          <w:sz w:val="24"/>
          <w:szCs w:val="24"/>
          <w:lang w:val="en-US" w:eastAsia="pt-PT"/>
        </w:rPr>
        <w:t>. Washington, D.C.: Institute for Palestine Studies, 1992.</w:t>
      </w:r>
    </w:p>
    <w:p w14:paraId="67B1D48E"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2C3430BE"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KIMMERLING, Baruch. </w:t>
      </w:r>
      <w:r w:rsidRPr="009E3A67">
        <w:rPr>
          <w:rFonts w:ascii="Times New Roman" w:eastAsia="Times New Roman" w:hAnsi="Times New Roman" w:cs="Times New Roman"/>
          <w:i/>
          <w:iCs/>
          <w:sz w:val="24"/>
          <w:szCs w:val="24"/>
          <w:lang w:val="en-US" w:eastAsia="pt-PT"/>
        </w:rPr>
        <w:t>Zionism and territory: the socio-territorial dimensions of Zionist politics</w:t>
      </w:r>
      <w:r w:rsidRPr="009E3A67">
        <w:rPr>
          <w:rFonts w:ascii="Times New Roman" w:eastAsia="Times New Roman" w:hAnsi="Times New Roman" w:cs="Times New Roman"/>
          <w:sz w:val="24"/>
          <w:szCs w:val="24"/>
          <w:lang w:val="en-US" w:eastAsia="pt-PT"/>
        </w:rPr>
        <w:t>. Berkeley: University of California Press, 1983.</w:t>
      </w:r>
    </w:p>
    <w:p w14:paraId="693EA4BD"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2342DDF3"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KONRAD, Edo. The roots of anti-Mizrahi racism in Israel. </w:t>
      </w:r>
      <w:r w:rsidRPr="009E3A67">
        <w:rPr>
          <w:rFonts w:ascii="Times New Roman" w:eastAsia="Times New Roman" w:hAnsi="Times New Roman" w:cs="Times New Roman"/>
          <w:sz w:val="24"/>
          <w:szCs w:val="24"/>
          <w:lang w:eastAsia="pt-PT"/>
        </w:rPr>
        <w:t>1 dez. 2015. Disponível em: https://www.972mag.com/the-roots-of-anti-mizrahi-racism-in-israel/. Acesso em 01/03/2025.</w:t>
      </w:r>
    </w:p>
    <w:p w14:paraId="57496D58"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36F4C068"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bookmarkStart w:id="3" w:name="_Hlk193026804"/>
      <w:r w:rsidRPr="009E3A67">
        <w:rPr>
          <w:rFonts w:ascii="Times New Roman" w:eastAsia="Times New Roman" w:hAnsi="Times New Roman" w:cs="Times New Roman"/>
          <w:sz w:val="24"/>
          <w:szCs w:val="24"/>
          <w:lang w:eastAsia="pt-PT"/>
        </w:rPr>
        <w:t>KRÄMER</w:t>
      </w:r>
      <w:bookmarkEnd w:id="3"/>
      <w:r w:rsidRPr="009E3A67">
        <w:rPr>
          <w:rFonts w:ascii="Times New Roman" w:eastAsia="Times New Roman" w:hAnsi="Times New Roman" w:cs="Times New Roman"/>
          <w:sz w:val="24"/>
          <w:szCs w:val="24"/>
          <w:lang w:eastAsia="pt-PT"/>
        </w:rPr>
        <w:t xml:space="preserve">, Tania. África e Israel: Uma história de altos e baixos. </w:t>
      </w:r>
      <w:r w:rsidRPr="009E3A67">
        <w:rPr>
          <w:rFonts w:ascii="Times New Roman" w:eastAsia="Times New Roman" w:hAnsi="Times New Roman" w:cs="Times New Roman"/>
          <w:i/>
          <w:iCs/>
          <w:sz w:val="24"/>
          <w:szCs w:val="24"/>
          <w:lang w:eastAsia="pt-PT"/>
        </w:rPr>
        <w:t>Deutsche Welle</w:t>
      </w:r>
      <w:r w:rsidRPr="009E3A67">
        <w:rPr>
          <w:rFonts w:ascii="Times New Roman" w:eastAsia="Times New Roman" w:hAnsi="Times New Roman" w:cs="Times New Roman"/>
          <w:sz w:val="24"/>
          <w:szCs w:val="24"/>
          <w:lang w:eastAsia="pt-PT"/>
        </w:rPr>
        <w:t xml:space="preserve">, 19 abr. 2018. Disponível em: </w:t>
      </w:r>
      <w:hyperlink r:id="rId75" w:history="1">
        <w:r w:rsidRPr="009E3A67">
          <w:rPr>
            <w:rStyle w:val="Hyperlink"/>
            <w:rFonts w:ascii="Times New Roman" w:eastAsia="Times New Roman" w:hAnsi="Times New Roman" w:cs="Times New Roman"/>
            <w:sz w:val="24"/>
            <w:szCs w:val="24"/>
            <w:lang w:eastAsia="pt-PT"/>
          </w:rPr>
          <w:t>https://www.dw.com/pt-002/%C3%A1frica-e-israel-uma-hist%C3%B3ria-de-altos-e-baixos/a-43456197</w:t>
        </w:r>
      </w:hyperlink>
      <w:r w:rsidRPr="009E3A67">
        <w:rPr>
          <w:rFonts w:ascii="Times New Roman" w:eastAsia="Times New Roman" w:hAnsi="Times New Roman" w:cs="Times New Roman"/>
          <w:sz w:val="24"/>
          <w:szCs w:val="24"/>
          <w:lang w:eastAsia="pt-PT"/>
        </w:rPr>
        <w:t>. Acesso em 12/01/2021.</w:t>
      </w:r>
    </w:p>
    <w:p w14:paraId="66861DC9"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42319737" w14:textId="77777777" w:rsidR="00FF4AC8" w:rsidRPr="009E3A67" w:rsidRDefault="00FF4AC8" w:rsidP="00553CA3">
      <w:pPr>
        <w:pStyle w:val="PargrafodaLista"/>
        <w:numPr>
          <w:ilvl w:val="0"/>
          <w:numId w:val="1"/>
        </w:numPr>
        <w:tabs>
          <w:tab w:val="left" w:pos="2127"/>
        </w:tabs>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KRENAK, Ailton. </w:t>
      </w:r>
      <w:r w:rsidRPr="009E3A67">
        <w:rPr>
          <w:rFonts w:ascii="Times New Roman" w:eastAsia="Times New Roman" w:hAnsi="Times New Roman" w:cs="Times New Roman"/>
          <w:i/>
          <w:iCs/>
          <w:sz w:val="24"/>
          <w:szCs w:val="24"/>
          <w:lang w:eastAsia="pt-PT"/>
        </w:rPr>
        <w:t>Ideias para adiar o fim do mundo</w:t>
      </w:r>
      <w:r w:rsidRPr="009E3A67">
        <w:rPr>
          <w:rFonts w:ascii="Times New Roman" w:eastAsia="Times New Roman" w:hAnsi="Times New Roman" w:cs="Times New Roman"/>
          <w:sz w:val="24"/>
          <w:szCs w:val="24"/>
          <w:lang w:eastAsia="pt-PT"/>
        </w:rPr>
        <w:t>. São Paulo: Companhia das Letras, 2019.</w:t>
      </w:r>
    </w:p>
    <w:p w14:paraId="0382E1BD"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4F1AD172"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LIBOREIRO, Jorge. Josep Borrell apologizes for controversial “garden vs jungle” metaphor but defends speech. </w:t>
      </w:r>
      <w:r w:rsidRPr="009E3A67">
        <w:rPr>
          <w:rFonts w:ascii="Times New Roman" w:eastAsia="Times New Roman" w:hAnsi="Times New Roman" w:cs="Times New Roman"/>
          <w:i/>
          <w:iCs/>
          <w:sz w:val="24"/>
          <w:szCs w:val="24"/>
          <w:lang w:eastAsia="pt-PT"/>
        </w:rPr>
        <w:t>Euronews</w:t>
      </w:r>
      <w:r w:rsidRPr="009E3A67">
        <w:rPr>
          <w:rFonts w:ascii="Times New Roman" w:eastAsia="Times New Roman" w:hAnsi="Times New Roman" w:cs="Times New Roman"/>
          <w:sz w:val="24"/>
          <w:szCs w:val="24"/>
          <w:lang w:eastAsia="pt-PT"/>
        </w:rPr>
        <w:t xml:space="preserve">, 19 out. 2022. Disponível em: </w:t>
      </w:r>
      <w:hyperlink r:id="rId76" w:history="1">
        <w:r w:rsidRPr="009E3A67">
          <w:rPr>
            <w:rStyle w:val="Hyperlink"/>
            <w:rFonts w:ascii="Times New Roman" w:eastAsia="Times New Roman" w:hAnsi="Times New Roman" w:cs="Times New Roman"/>
            <w:sz w:val="24"/>
            <w:szCs w:val="24"/>
            <w:lang w:eastAsia="pt-PT"/>
          </w:rPr>
          <w:t>https://www.euronews.com/my-europe/2022/10/19/josep-borrell-apologises-for-controversial-garden-vs-jungle-metaphor-but-stands-his-ground</w:t>
        </w:r>
      </w:hyperlink>
      <w:r w:rsidRPr="009E3A67">
        <w:rPr>
          <w:rFonts w:ascii="Times New Roman" w:eastAsia="Times New Roman" w:hAnsi="Times New Roman" w:cs="Times New Roman"/>
          <w:sz w:val="24"/>
          <w:szCs w:val="24"/>
          <w:lang w:eastAsia="pt-PT"/>
        </w:rPr>
        <w:t>. Acesso em 20/10/2022.</w:t>
      </w:r>
    </w:p>
    <w:p w14:paraId="52E1EEAF"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408E9B79"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LINDQVIST, Sven. </w:t>
      </w:r>
      <w:r w:rsidRPr="009E3A67">
        <w:rPr>
          <w:rFonts w:ascii="Times New Roman" w:eastAsia="Times New Roman" w:hAnsi="Times New Roman" w:cs="Times New Roman"/>
          <w:i/>
          <w:iCs/>
          <w:sz w:val="24"/>
          <w:szCs w:val="24"/>
          <w:lang w:eastAsia="pt-PT"/>
        </w:rPr>
        <w:t>Terra Nullius: Viagem aos Antípodas</w:t>
      </w:r>
      <w:r w:rsidRPr="009E3A67">
        <w:rPr>
          <w:rFonts w:ascii="Times New Roman" w:eastAsia="Times New Roman" w:hAnsi="Times New Roman" w:cs="Times New Roman"/>
          <w:sz w:val="24"/>
          <w:szCs w:val="24"/>
          <w:lang w:eastAsia="pt-PT"/>
        </w:rPr>
        <w:t>. Tradução: Luís Mexêdo. Lisboa: Tinta da China, 2015.</w:t>
      </w:r>
    </w:p>
    <w:p w14:paraId="39EF3A03"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299162C0"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LINEBAUGH, Peter. </w:t>
      </w:r>
      <w:r w:rsidRPr="009E3A67">
        <w:rPr>
          <w:rFonts w:ascii="Times New Roman" w:eastAsia="Times New Roman" w:hAnsi="Times New Roman" w:cs="Times New Roman"/>
          <w:i/>
          <w:iCs/>
          <w:sz w:val="24"/>
          <w:szCs w:val="24"/>
          <w:lang w:eastAsia="pt-PT"/>
        </w:rPr>
        <w:t>Ned Ludd e a Rainha Mab</w:t>
      </w:r>
      <w:r w:rsidRPr="009E3A67">
        <w:rPr>
          <w:rFonts w:ascii="Times New Roman" w:eastAsia="Times New Roman" w:hAnsi="Times New Roman" w:cs="Times New Roman"/>
          <w:sz w:val="24"/>
          <w:szCs w:val="24"/>
          <w:lang w:eastAsia="pt-PT"/>
        </w:rPr>
        <w:t>. Tradução: Pedro Morais. Lisboa: Antígona, 2023.</w:t>
      </w:r>
    </w:p>
    <w:p w14:paraId="49863B89"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3DA6E42A"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LOEWENSTEIN, Antony Loewenstein, </w:t>
      </w:r>
      <w:r w:rsidRPr="009E3A67">
        <w:rPr>
          <w:rFonts w:ascii="Times New Roman" w:eastAsia="Times New Roman" w:hAnsi="Times New Roman" w:cs="Times New Roman"/>
          <w:i/>
          <w:iCs/>
          <w:sz w:val="24"/>
          <w:szCs w:val="24"/>
          <w:lang w:val="en-US" w:eastAsia="pt-PT"/>
        </w:rPr>
        <w:t>The Palestine Laboratory: How Israel Exports the Technology of Occupation Around the World</w:t>
      </w:r>
      <w:r w:rsidRPr="009E3A67">
        <w:rPr>
          <w:rFonts w:ascii="Times New Roman" w:eastAsia="Times New Roman" w:hAnsi="Times New Roman" w:cs="Times New Roman"/>
          <w:sz w:val="24"/>
          <w:szCs w:val="24"/>
          <w:lang w:val="en-US" w:eastAsia="pt-PT"/>
        </w:rPr>
        <w:t>. Londres: Verso, 2023.</w:t>
      </w:r>
    </w:p>
    <w:p w14:paraId="468C0097"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03FF78D3"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LOSURDO, Domenico. </w:t>
      </w:r>
      <w:r w:rsidRPr="009E3A67">
        <w:rPr>
          <w:rFonts w:ascii="Times New Roman" w:eastAsia="Times New Roman" w:hAnsi="Times New Roman" w:cs="Times New Roman"/>
          <w:i/>
          <w:iCs/>
          <w:sz w:val="24"/>
          <w:szCs w:val="24"/>
          <w:lang w:eastAsia="pt-PT"/>
        </w:rPr>
        <w:t>A não violência: Uma história fora do mito</w:t>
      </w:r>
      <w:r w:rsidRPr="009E3A67">
        <w:rPr>
          <w:rFonts w:ascii="Times New Roman" w:eastAsia="Times New Roman" w:hAnsi="Times New Roman" w:cs="Times New Roman"/>
          <w:sz w:val="24"/>
          <w:szCs w:val="24"/>
          <w:lang w:eastAsia="pt-PT"/>
        </w:rPr>
        <w:t>. Tradução: Carlo Alberto Dastoli. Rio de Janeiro: Revan, 2010.</w:t>
      </w:r>
    </w:p>
    <w:p w14:paraId="7ACAF391"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56EEF55D"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______. </w:t>
      </w:r>
      <w:r w:rsidRPr="009E3A67">
        <w:rPr>
          <w:rFonts w:ascii="Times New Roman" w:eastAsia="Times New Roman" w:hAnsi="Times New Roman" w:cs="Times New Roman"/>
          <w:i/>
          <w:iCs/>
          <w:sz w:val="24"/>
          <w:szCs w:val="24"/>
          <w:lang w:eastAsia="pt-PT"/>
        </w:rPr>
        <w:t>Contrahistoria del liberalismo</w:t>
      </w:r>
      <w:r w:rsidRPr="009E3A67">
        <w:rPr>
          <w:rFonts w:ascii="Times New Roman" w:eastAsia="Times New Roman" w:hAnsi="Times New Roman" w:cs="Times New Roman"/>
          <w:sz w:val="24"/>
          <w:szCs w:val="24"/>
          <w:lang w:eastAsia="pt-PT"/>
        </w:rPr>
        <w:t>. Tradução: Marcia Gasca. Vilassar de Dalt: El Viejo Topo, 2007.</w:t>
      </w:r>
    </w:p>
    <w:p w14:paraId="2847DC02"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67D00FCB"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MASALHA, Nur. </w:t>
      </w:r>
      <w:r w:rsidRPr="009E3A67">
        <w:rPr>
          <w:rFonts w:ascii="Times New Roman" w:eastAsia="Times New Roman" w:hAnsi="Times New Roman" w:cs="Times New Roman"/>
          <w:i/>
          <w:iCs/>
          <w:sz w:val="24"/>
          <w:szCs w:val="24"/>
          <w:lang w:val="en-US" w:eastAsia="pt-PT"/>
        </w:rPr>
        <w:t>Expulsion of the Palestinians: the concept of “transfer” in Zionist political thought, 1882-1948</w:t>
      </w:r>
      <w:r w:rsidRPr="009E3A67">
        <w:rPr>
          <w:rFonts w:ascii="Times New Roman" w:eastAsia="Times New Roman" w:hAnsi="Times New Roman" w:cs="Times New Roman"/>
          <w:sz w:val="24"/>
          <w:szCs w:val="24"/>
          <w:lang w:val="en-US" w:eastAsia="pt-PT"/>
        </w:rPr>
        <w:t>. Washington, D.C.: Institute for Palestine Studies, 1992.</w:t>
      </w:r>
    </w:p>
    <w:p w14:paraId="33FABB22"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34E9DFC5"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______. </w:t>
      </w:r>
      <w:r w:rsidRPr="009E3A67">
        <w:rPr>
          <w:rFonts w:ascii="Times New Roman" w:eastAsia="Times New Roman" w:hAnsi="Times New Roman" w:cs="Times New Roman"/>
          <w:i/>
          <w:iCs/>
          <w:sz w:val="24"/>
          <w:szCs w:val="24"/>
          <w:lang w:val="en-US" w:eastAsia="pt-PT"/>
        </w:rPr>
        <w:t>Remembering the Palestinian Nakba</w:t>
      </w:r>
      <w:r w:rsidRPr="009E3A67">
        <w:rPr>
          <w:rFonts w:ascii="Times New Roman" w:eastAsia="Times New Roman" w:hAnsi="Times New Roman" w:cs="Times New Roman"/>
          <w:sz w:val="24"/>
          <w:szCs w:val="24"/>
          <w:lang w:val="en-US" w:eastAsia="pt-PT"/>
        </w:rPr>
        <w:t xml:space="preserve">: Commemoration, Oral History and Narratives of Memory. Holy Land Studies. V. 7, n. 2, pp. 123-156, 2008. </w:t>
      </w:r>
      <w:hyperlink r:id="rId77" w:history="1">
        <w:r w:rsidRPr="009E3A67">
          <w:rPr>
            <w:rStyle w:val="Hyperlink"/>
            <w:rFonts w:ascii="Times New Roman" w:eastAsia="Times New Roman" w:hAnsi="Times New Roman" w:cs="Times New Roman"/>
            <w:sz w:val="24"/>
            <w:szCs w:val="24"/>
            <w:lang w:val="en-US" w:eastAsia="pt-PT"/>
          </w:rPr>
          <w:t>https://doi.org/10.3366/E147494750800019X</w:t>
        </w:r>
      </w:hyperlink>
      <w:r w:rsidRPr="009E3A67">
        <w:rPr>
          <w:rFonts w:ascii="Times New Roman" w:hAnsi="Times New Roman" w:cs="Times New Roman"/>
          <w:sz w:val="24"/>
          <w:szCs w:val="24"/>
          <w:lang w:val="en-US"/>
        </w:rPr>
        <w:t>.</w:t>
      </w:r>
    </w:p>
    <w:p w14:paraId="0B3A48EF"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560CAD6C"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______. </w:t>
      </w:r>
      <w:r w:rsidRPr="009E3A67">
        <w:rPr>
          <w:rFonts w:ascii="Times New Roman" w:eastAsia="Times New Roman" w:hAnsi="Times New Roman" w:cs="Times New Roman"/>
          <w:i/>
          <w:iCs/>
          <w:sz w:val="24"/>
          <w:szCs w:val="24"/>
          <w:lang w:val="en-US" w:eastAsia="pt-PT"/>
        </w:rPr>
        <w:t>The Bible &amp; Zionism: Invented Traditions, Archaeology and Post-Colonialism in Israel-Palestine</w:t>
      </w:r>
      <w:r w:rsidRPr="009E3A67">
        <w:rPr>
          <w:rFonts w:ascii="Times New Roman" w:eastAsia="Times New Roman" w:hAnsi="Times New Roman" w:cs="Times New Roman"/>
          <w:sz w:val="24"/>
          <w:szCs w:val="24"/>
          <w:lang w:val="en-US" w:eastAsia="pt-PT"/>
        </w:rPr>
        <w:t>. Londres: Zed Books, 2007.</w:t>
      </w:r>
    </w:p>
    <w:p w14:paraId="3F65F5B4"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______. </w:t>
      </w:r>
      <w:r w:rsidRPr="009E3A67">
        <w:rPr>
          <w:rFonts w:ascii="Times New Roman" w:eastAsia="Times New Roman" w:hAnsi="Times New Roman" w:cs="Times New Roman"/>
          <w:i/>
          <w:iCs/>
          <w:sz w:val="24"/>
          <w:szCs w:val="24"/>
          <w:lang w:val="en-US" w:eastAsia="pt-PT"/>
        </w:rPr>
        <w:t>The politics of denial: Israel and the Palestinian refugee problem</w:t>
      </w:r>
      <w:r w:rsidRPr="009E3A67">
        <w:rPr>
          <w:rFonts w:ascii="Times New Roman" w:eastAsia="Times New Roman" w:hAnsi="Times New Roman" w:cs="Times New Roman"/>
          <w:sz w:val="24"/>
          <w:szCs w:val="24"/>
          <w:lang w:val="en-US" w:eastAsia="pt-PT"/>
        </w:rPr>
        <w:t xml:space="preserve">. </w:t>
      </w:r>
      <w:r w:rsidRPr="009E3A67">
        <w:rPr>
          <w:rFonts w:ascii="Times New Roman" w:eastAsia="Times New Roman" w:hAnsi="Times New Roman" w:cs="Times New Roman"/>
          <w:sz w:val="24"/>
          <w:szCs w:val="24"/>
          <w:lang w:eastAsia="pt-PT"/>
        </w:rPr>
        <w:t>Londres: Pluto Press, 2003.</w:t>
      </w:r>
    </w:p>
    <w:p w14:paraId="458FE2B1"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lang w:val="en-US"/>
        </w:rPr>
      </w:pPr>
    </w:p>
    <w:p w14:paraId="3BF87425"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lang w:val="en-US"/>
        </w:rPr>
      </w:pPr>
      <w:r w:rsidRPr="009E3A67">
        <w:rPr>
          <w:rFonts w:ascii="Times New Roman" w:eastAsia="Times New Roman" w:hAnsi="Times New Roman" w:cs="Times New Roman"/>
          <w:sz w:val="24"/>
          <w:szCs w:val="24"/>
          <w:lang w:val="en-US" w:eastAsia="pt-PT"/>
        </w:rPr>
        <w:t xml:space="preserve">MASSAD, Joseph. </w:t>
      </w:r>
      <w:r w:rsidRPr="009E3A67">
        <w:rPr>
          <w:rFonts w:ascii="Times New Roman" w:eastAsia="Times New Roman" w:hAnsi="Times New Roman" w:cs="Times New Roman"/>
          <w:i/>
          <w:iCs/>
          <w:sz w:val="24"/>
          <w:szCs w:val="24"/>
          <w:lang w:val="en-US" w:eastAsia="pt-PT"/>
        </w:rPr>
        <w:t>The “Post-Colonial” Colony</w:t>
      </w:r>
      <w:r w:rsidRPr="009E3A67">
        <w:rPr>
          <w:rFonts w:ascii="Times New Roman" w:eastAsia="Times New Roman" w:hAnsi="Times New Roman" w:cs="Times New Roman"/>
          <w:sz w:val="24"/>
          <w:szCs w:val="24"/>
          <w:lang w:val="en-US" w:eastAsia="pt-PT"/>
        </w:rPr>
        <w:t xml:space="preserve">: Time, Space, and Bodies in Palestine/Israel. In: AFZAL-KHAN, Fawzia; SESHADRI-CROOKS, Kalpana (eds.); </w:t>
      </w:r>
      <w:r w:rsidRPr="009E3A67">
        <w:rPr>
          <w:rFonts w:ascii="Times New Roman" w:hAnsi="Times New Roman" w:cs="Times New Roman"/>
          <w:sz w:val="24"/>
          <w:szCs w:val="24"/>
          <w:lang w:val="en-US"/>
        </w:rPr>
        <w:t>The Pre-occupation of Postcolonial Studies;</w:t>
      </w:r>
      <w:r w:rsidRPr="009E3A67">
        <w:rPr>
          <w:rFonts w:ascii="Times New Roman" w:eastAsia="Times New Roman" w:hAnsi="Times New Roman" w:cs="Times New Roman"/>
          <w:i/>
          <w:iCs/>
          <w:sz w:val="24"/>
          <w:szCs w:val="24"/>
          <w:lang w:val="en-US" w:eastAsia="pt-PT"/>
        </w:rPr>
        <w:t xml:space="preserve"> </w:t>
      </w:r>
      <w:r w:rsidRPr="009E3A67">
        <w:rPr>
          <w:rFonts w:ascii="Times New Roman" w:hAnsi="Times New Roman" w:cs="Times New Roman"/>
          <w:sz w:val="24"/>
          <w:szCs w:val="24"/>
          <w:lang w:val="en-US"/>
        </w:rPr>
        <w:t>Durham: Duke University Press, pp. 311-343, 2000.</w:t>
      </w:r>
    </w:p>
    <w:p w14:paraId="458C9319"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lang w:val="en-US"/>
        </w:rPr>
      </w:pPr>
    </w:p>
    <w:p w14:paraId="3CF3EFE3"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______. </w:t>
      </w:r>
      <w:r w:rsidRPr="009E3A67">
        <w:rPr>
          <w:rFonts w:ascii="Times New Roman" w:eastAsia="Times New Roman" w:hAnsi="Times New Roman" w:cs="Times New Roman"/>
          <w:i/>
          <w:iCs/>
          <w:sz w:val="24"/>
          <w:szCs w:val="24"/>
          <w:lang w:val="en-US" w:eastAsia="pt-PT"/>
        </w:rPr>
        <w:t>Zionism’s Internal Others</w:t>
      </w:r>
      <w:r w:rsidRPr="009E3A67">
        <w:rPr>
          <w:rFonts w:ascii="Times New Roman" w:eastAsia="Times New Roman" w:hAnsi="Times New Roman" w:cs="Times New Roman"/>
          <w:sz w:val="24"/>
          <w:szCs w:val="24"/>
          <w:lang w:val="en-US" w:eastAsia="pt-PT"/>
        </w:rPr>
        <w:t xml:space="preserve">: Israel and the Oriental Jew. Journal of Palestine Studies. V. 25, n. 4, pp. 53-68, 1996. </w:t>
      </w:r>
      <w:hyperlink r:id="rId78" w:history="1">
        <w:r w:rsidRPr="009E3A67">
          <w:rPr>
            <w:rStyle w:val="Hyperlink"/>
            <w:rFonts w:ascii="Times New Roman" w:eastAsia="Times New Roman" w:hAnsi="Times New Roman" w:cs="Times New Roman"/>
            <w:sz w:val="24"/>
            <w:szCs w:val="24"/>
            <w:lang w:val="en-US" w:eastAsia="pt-PT"/>
          </w:rPr>
          <w:t>https://doi.org/10.2307/2538006</w:t>
        </w:r>
      </w:hyperlink>
      <w:r w:rsidRPr="009E3A67">
        <w:rPr>
          <w:rFonts w:ascii="Times New Roman" w:eastAsia="Times New Roman" w:hAnsi="Times New Roman" w:cs="Times New Roman"/>
          <w:sz w:val="24"/>
          <w:szCs w:val="24"/>
          <w:u w:val="single"/>
          <w:lang w:val="en-US" w:eastAsia="pt-PT"/>
        </w:rPr>
        <w:t>.</w:t>
      </w:r>
    </w:p>
    <w:p w14:paraId="7546AE14"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33913492"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eastAsia="Times New Roman" w:hAnsi="Times New Roman" w:cs="Times New Roman"/>
          <w:sz w:val="24"/>
          <w:szCs w:val="24"/>
          <w:lang w:val="en-US" w:eastAsia="pt-PT"/>
        </w:rPr>
        <w:t xml:space="preserve">______. Zionism, anti-Semitism and colonialism. </w:t>
      </w:r>
      <w:r w:rsidRPr="009E3A67">
        <w:rPr>
          <w:rFonts w:ascii="Times New Roman" w:eastAsia="Times New Roman" w:hAnsi="Times New Roman" w:cs="Times New Roman"/>
          <w:i/>
          <w:iCs/>
          <w:sz w:val="24"/>
          <w:szCs w:val="24"/>
          <w:lang w:eastAsia="pt-PT"/>
        </w:rPr>
        <w:t>Aljazeera</w:t>
      </w:r>
      <w:r w:rsidRPr="009E3A67">
        <w:rPr>
          <w:rFonts w:ascii="Times New Roman" w:eastAsia="Times New Roman" w:hAnsi="Times New Roman" w:cs="Times New Roman"/>
          <w:sz w:val="24"/>
          <w:szCs w:val="24"/>
          <w:lang w:eastAsia="pt-PT"/>
        </w:rPr>
        <w:t xml:space="preserve">, 24 dez. 2012. Disponível em: </w:t>
      </w:r>
      <w:hyperlink r:id="rId79" w:history="1">
        <w:r w:rsidRPr="009E3A67">
          <w:rPr>
            <w:rStyle w:val="Hyperlink"/>
            <w:rFonts w:ascii="Times New Roman" w:eastAsia="Times New Roman" w:hAnsi="Times New Roman" w:cs="Times New Roman"/>
            <w:sz w:val="24"/>
            <w:szCs w:val="24"/>
            <w:lang w:eastAsia="pt-PT"/>
          </w:rPr>
          <w:t>https://www.aljazeera.com/opinions/2012/12/24/zionism-anti-semitism-and-colonialism</w:t>
        </w:r>
      </w:hyperlink>
      <w:r w:rsidRPr="009E3A67">
        <w:rPr>
          <w:rFonts w:ascii="Times New Roman" w:eastAsia="Times New Roman" w:hAnsi="Times New Roman" w:cs="Times New Roman"/>
          <w:sz w:val="24"/>
          <w:szCs w:val="24"/>
          <w:lang w:eastAsia="pt-PT"/>
        </w:rPr>
        <w:t>. Acesso em 12/01/2021.</w:t>
      </w:r>
    </w:p>
    <w:p w14:paraId="649A8FE4"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188F0947"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MÉDICOS SEM FRONTEIRAS (MSF). </w:t>
      </w:r>
      <w:r w:rsidRPr="009E3A67">
        <w:rPr>
          <w:rFonts w:ascii="Times New Roman" w:hAnsi="Times New Roman" w:cs="Times New Roman"/>
          <w:i/>
          <w:iCs/>
          <w:sz w:val="24"/>
          <w:szCs w:val="24"/>
        </w:rPr>
        <w:t>Gaza: Life in a death trap</w:t>
      </w:r>
      <w:r w:rsidRPr="009E3A67">
        <w:rPr>
          <w:rFonts w:ascii="Times New Roman" w:hAnsi="Times New Roman" w:cs="Times New Roman"/>
          <w:sz w:val="24"/>
          <w:szCs w:val="24"/>
        </w:rPr>
        <w:t xml:space="preserve">. 19 dez. 2024. Disponível em: </w:t>
      </w:r>
      <w:hyperlink r:id="rId80" w:history="1">
        <w:r w:rsidRPr="009E3A67">
          <w:rPr>
            <w:rStyle w:val="Hyperlink"/>
            <w:rFonts w:ascii="Times New Roman" w:hAnsi="Times New Roman" w:cs="Times New Roman"/>
            <w:sz w:val="24"/>
            <w:szCs w:val="24"/>
          </w:rPr>
          <w:t>https://www.msf.org/life-death-trap-gaza-palestine. Acesso em 20/12/2024</w:t>
        </w:r>
      </w:hyperlink>
      <w:r w:rsidRPr="009E3A67">
        <w:rPr>
          <w:rFonts w:ascii="Times New Roman" w:hAnsi="Times New Roman" w:cs="Times New Roman"/>
          <w:sz w:val="24"/>
          <w:szCs w:val="24"/>
        </w:rPr>
        <w:t>.</w:t>
      </w:r>
    </w:p>
    <w:p w14:paraId="4263AE67"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05267572"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MISHRA, Pankaj. Israel and the delusions of Germany’s “memory culture”. </w:t>
      </w:r>
      <w:r w:rsidRPr="009E3A67">
        <w:rPr>
          <w:rFonts w:ascii="Times New Roman" w:eastAsia="Times New Roman" w:hAnsi="Times New Roman" w:cs="Times New Roman"/>
          <w:i/>
          <w:iCs/>
          <w:sz w:val="24"/>
          <w:szCs w:val="24"/>
          <w:lang w:eastAsia="pt-PT"/>
        </w:rPr>
        <w:t>The Guardian</w:t>
      </w:r>
      <w:r w:rsidRPr="009E3A67">
        <w:rPr>
          <w:rFonts w:ascii="Times New Roman" w:eastAsia="Times New Roman" w:hAnsi="Times New Roman" w:cs="Times New Roman"/>
          <w:sz w:val="24"/>
          <w:szCs w:val="24"/>
          <w:lang w:eastAsia="pt-PT"/>
        </w:rPr>
        <w:t xml:space="preserve">, 30 jan. 2025. Disponível em: </w:t>
      </w:r>
      <w:hyperlink r:id="rId81" w:history="1">
        <w:r w:rsidRPr="009E3A67">
          <w:rPr>
            <w:rStyle w:val="Hyperlink"/>
            <w:rFonts w:ascii="Times New Roman" w:eastAsia="Times New Roman" w:hAnsi="Times New Roman" w:cs="Times New Roman"/>
            <w:sz w:val="24"/>
            <w:szCs w:val="24"/>
            <w:lang w:eastAsia="pt-PT"/>
          </w:rPr>
          <w:t>https://www.theguardian.com/news/2025/jan/30/israel-and-the-delusions-of-germanys-memory-culture</w:t>
        </w:r>
      </w:hyperlink>
      <w:r w:rsidRPr="009E3A67">
        <w:rPr>
          <w:rFonts w:ascii="Times New Roman" w:eastAsia="Times New Roman" w:hAnsi="Times New Roman" w:cs="Times New Roman"/>
          <w:sz w:val="24"/>
          <w:szCs w:val="24"/>
          <w:lang w:eastAsia="pt-PT"/>
        </w:rPr>
        <w:t>. Acesso em 30/01/2025.</w:t>
      </w:r>
    </w:p>
    <w:p w14:paraId="2F744997"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1B380205"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______. The Shoah after Gaza. </w:t>
      </w:r>
      <w:r w:rsidRPr="009E3A67">
        <w:rPr>
          <w:rFonts w:ascii="Times New Roman" w:eastAsia="Times New Roman" w:hAnsi="Times New Roman" w:cs="Times New Roman"/>
          <w:i/>
          <w:iCs/>
          <w:sz w:val="24"/>
          <w:szCs w:val="24"/>
          <w:lang w:val="en-US" w:eastAsia="pt-PT"/>
        </w:rPr>
        <w:t>London Review of Books</w:t>
      </w:r>
      <w:r w:rsidRPr="009E3A67">
        <w:rPr>
          <w:rFonts w:ascii="Times New Roman" w:eastAsia="Times New Roman" w:hAnsi="Times New Roman" w:cs="Times New Roman"/>
          <w:sz w:val="24"/>
          <w:szCs w:val="24"/>
          <w:lang w:val="en-US" w:eastAsia="pt-PT"/>
        </w:rPr>
        <w:t xml:space="preserve">, 21 mar. 2024. </w:t>
      </w:r>
      <w:r w:rsidRPr="009E3A67">
        <w:rPr>
          <w:rFonts w:ascii="Times New Roman" w:eastAsia="Times New Roman" w:hAnsi="Times New Roman" w:cs="Times New Roman"/>
          <w:sz w:val="24"/>
          <w:szCs w:val="24"/>
          <w:lang w:eastAsia="pt-PT"/>
        </w:rPr>
        <w:t xml:space="preserve">Disponível em: </w:t>
      </w:r>
      <w:hyperlink r:id="rId82" w:history="1">
        <w:r w:rsidRPr="009E3A67">
          <w:rPr>
            <w:rStyle w:val="Hyperlink"/>
            <w:rFonts w:ascii="Times New Roman" w:eastAsia="Times New Roman" w:hAnsi="Times New Roman" w:cs="Times New Roman"/>
            <w:sz w:val="24"/>
            <w:szCs w:val="24"/>
            <w:lang w:eastAsia="pt-PT"/>
          </w:rPr>
          <w:t>https://www.lrb.co.uk/the-paper/v46/n06/pankaj-mishra/the-shoah-after-gaza</w:t>
        </w:r>
      </w:hyperlink>
      <w:r w:rsidRPr="009E3A67">
        <w:rPr>
          <w:rFonts w:ascii="Times New Roman" w:eastAsia="Times New Roman" w:hAnsi="Times New Roman" w:cs="Times New Roman"/>
          <w:sz w:val="24"/>
          <w:szCs w:val="24"/>
          <w:lang w:eastAsia="pt-PT"/>
        </w:rPr>
        <w:t>. Acesso em: 30/01/2025.</w:t>
      </w:r>
    </w:p>
    <w:p w14:paraId="4EB23D54"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26E78C3E"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MOUSSA, Emad. The Mista’arvim: Israel’s notorious undercover agens. </w:t>
      </w:r>
      <w:r w:rsidRPr="009E3A67">
        <w:rPr>
          <w:rFonts w:ascii="Times New Roman" w:eastAsia="Times New Roman" w:hAnsi="Times New Roman" w:cs="Times New Roman"/>
          <w:i/>
          <w:iCs/>
          <w:sz w:val="24"/>
          <w:szCs w:val="24"/>
          <w:lang w:val="en-US" w:eastAsia="pt-PT"/>
        </w:rPr>
        <w:t>The New Arab</w:t>
      </w:r>
      <w:r w:rsidRPr="009E3A67">
        <w:rPr>
          <w:rFonts w:ascii="Times New Roman" w:eastAsia="Times New Roman" w:hAnsi="Times New Roman" w:cs="Times New Roman"/>
          <w:sz w:val="24"/>
          <w:szCs w:val="24"/>
          <w:lang w:val="en-US" w:eastAsia="pt-PT"/>
        </w:rPr>
        <w:t xml:space="preserve">, 18 abr. 2022. </w:t>
      </w:r>
      <w:r w:rsidRPr="009E3A67">
        <w:rPr>
          <w:rFonts w:ascii="Times New Roman" w:eastAsia="Times New Roman" w:hAnsi="Times New Roman" w:cs="Times New Roman"/>
          <w:sz w:val="24"/>
          <w:szCs w:val="24"/>
          <w:lang w:eastAsia="pt-PT"/>
        </w:rPr>
        <w:t xml:space="preserve">Disponível em: </w:t>
      </w:r>
      <w:hyperlink r:id="rId83" w:history="1">
        <w:r w:rsidRPr="009E3A67">
          <w:rPr>
            <w:rStyle w:val="Hyperlink"/>
            <w:rFonts w:ascii="Times New Roman" w:eastAsia="Times New Roman" w:hAnsi="Times New Roman" w:cs="Times New Roman"/>
            <w:sz w:val="24"/>
            <w:szCs w:val="24"/>
            <w:lang w:eastAsia="pt-PT"/>
          </w:rPr>
          <w:t>https://www.newarab.com/analysis/mistaarvim-israels-notorious-undercover-agents. Acesso em 22/05/2022</w:t>
        </w:r>
      </w:hyperlink>
      <w:r w:rsidRPr="009E3A67">
        <w:rPr>
          <w:rFonts w:ascii="Times New Roman" w:eastAsia="Times New Roman" w:hAnsi="Times New Roman" w:cs="Times New Roman"/>
          <w:sz w:val="24"/>
          <w:szCs w:val="24"/>
          <w:lang w:eastAsia="pt-PT"/>
        </w:rPr>
        <w:t>.</w:t>
      </w:r>
    </w:p>
    <w:p w14:paraId="1BFC005D"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2DA6C175"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MOUSSAWI, Ghassan. </w:t>
      </w:r>
      <w:r w:rsidRPr="009E3A67">
        <w:rPr>
          <w:rFonts w:ascii="Times New Roman" w:eastAsia="Times New Roman" w:hAnsi="Times New Roman" w:cs="Times New Roman"/>
          <w:i/>
          <w:iCs/>
          <w:sz w:val="24"/>
          <w:szCs w:val="24"/>
          <w:lang w:val="en-US" w:eastAsia="pt-PT"/>
        </w:rPr>
        <w:t>Queering Beirut, the “Paris of the Middle East”</w:t>
      </w:r>
      <w:r w:rsidRPr="009E3A67">
        <w:rPr>
          <w:rFonts w:ascii="Times New Roman" w:eastAsia="Times New Roman" w:hAnsi="Times New Roman" w:cs="Times New Roman"/>
          <w:sz w:val="24"/>
          <w:szCs w:val="24"/>
          <w:lang w:val="en-US" w:eastAsia="pt-PT"/>
        </w:rPr>
        <w:t xml:space="preserve">: fractal Orientalism and essentialized masculinities in contemporary gay travelogues. Gender, Place &amp; Culture: A Journal of Feminist Geography. V. 20, n. 7, pp. 858-875, 2013. </w:t>
      </w:r>
      <w:hyperlink r:id="rId84" w:history="1">
        <w:r w:rsidRPr="009E3A67">
          <w:rPr>
            <w:rStyle w:val="Hyperlink"/>
            <w:rFonts w:ascii="Times New Roman" w:eastAsia="Times New Roman" w:hAnsi="Times New Roman" w:cs="Times New Roman"/>
            <w:sz w:val="24"/>
            <w:szCs w:val="24"/>
            <w:lang w:val="en-US" w:eastAsia="pt-PT"/>
          </w:rPr>
          <w:t>https://doi.org/10.1080/0966369X.2012.753586</w:t>
        </w:r>
      </w:hyperlink>
      <w:r w:rsidRPr="009E3A67">
        <w:rPr>
          <w:rFonts w:ascii="Times New Roman" w:hAnsi="Times New Roman" w:cs="Times New Roman"/>
          <w:sz w:val="24"/>
          <w:szCs w:val="24"/>
        </w:rPr>
        <w:t>.</w:t>
      </w:r>
    </w:p>
    <w:p w14:paraId="71587EE4"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6B08E56A"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NABULSI, Karma. The great catastrophe. </w:t>
      </w:r>
      <w:r w:rsidRPr="009E3A67">
        <w:rPr>
          <w:rFonts w:ascii="Times New Roman" w:eastAsia="Times New Roman" w:hAnsi="Times New Roman" w:cs="Times New Roman"/>
          <w:i/>
          <w:iCs/>
          <w:sz w:val="24"/>
          <w:szCs w:val="24"/>
          <w:lang w:eastAsia="pt-PT"/>
        </w:rPr>
        <w:t>The Guardian</w:t>
      </w:r>
      <w:r w:rsidRPr="009E3A67">
        <w:rPr>
          <w:rFonts w:ascii="Times New Roman" w:eastAsia="Times New Roman" w:hAnsi="Times New Roman" w:cs="Times New Roman"/>
          <w:sz w:val="24"/>
          <w:szCs w:val="24"/>
          <w:lang w:eastAsia="pt-PT"/>
        </w:rPr>
        <w:t xml:space="preserve">, 12 mai. 2006. Disponível em: </w:t>
      </w:r>
      <w:hyperlink r:id="rId85" w:history="1">
        <w:r w:rsidRPr="009E3A67">
          <w:rPr>
            <w:rStyle w:val="Hyperlink"/>
            <w:rFonts w:ascii="Times New Roman" w:eastAsia="Times New Roman" w:hAnsi="Times New Roman" w:cs="Times New Roman"/>
            <w:sz w:val="24"/>
            <w:szCs w:val="24"/>
            <w:lang w:eastAsia="pt-PT"/>
          </w:rPr>
          <w:t>https://www.theguardian.com/world/2006/may/12/israel1</w:t>
        </w:r>
      </w:hyperlink>
      <w:r w:rsidRPr="009E3A67">
        <w:rPr>
          <w:rFonts w:ascii="Times New Roman" w:eastAsia="Times New Roman" w:hAnsi="Times New Roman" w:cs="Times New Roman"/>
          <w:sz w:val="24"/>
          <w:szCs w:val="24"/>
          <w:lang w:eastAsia="pt-PT"/>
        </w:rPr>
        <w:t>. Acesso em 22/05/2022.</w:t>
      </w:r>
    </w:p>
    <w:p w14:paraId="4F56059F"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3222972E"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NETANYAHU claims Israel has the most moral army. </w:t>
      </w:r>
      <w:r w:rsidRPr="009E3A67">
        <w:rPr>
          <w:rFonts w:ascii="Times New Roman" w:eastAsia="Times New Roman" w:hAnsi="Times New Roman" w:cs="Times New Roman"/>
          <w:i/>
          <w:iCs/>
          <w:sz w:val="24"/>
          <w:szCs w:val="24"/>
          <w:lang w:val="en-US" w:eastAsia="pt-PT"/>
        </w:rPr>
        <w:t>Middle East Eye</w:t>
      </w:r>
      <w:r w:rsidRPr="009E3A67">
        <w:rPr>
          <w:rFonts w:ascii="Times New Roman" w:eastAsia="Times New Roman" w:hAnsi="Times New Roman" w:cs="Times New Roman"/>
          <w:sz w:val="24"/>
          <w:szCs w:val="24"/>
          <w:lang w:val="en-US" w:eastAsia="pt-PT"/>
        </w:rPr>
        <w:t xml:space="preserve">, 21 mai. 2021. 1 vídeo (2 min. e 2seg.). </w:t>
      </w:r>
      <w:r w:rsidRPr="009E3A67">
        <w:rPr>
          <w:rFonts w:ascii="Times New Roman" w:eastAsia="Times New Roman" w:hAnsi="Times New Roman" w:cs="Times New Roman"/>
          <w:sz w:val="24"/>
          <w:szCs w:val="24"/>
          <w:lang w:eastAsia="pt-PT"/>
        </w:rPr>
        <w:t xml:space="preserve">Disponível em: </w:t>
      </w:r>
      <w:hyperlink r:id="rId86" w:history="1">
        <w:r w:rsidRPr="009E3A67">
          <w:rPr>
            <w:rStyle w:val="Hyperlink"/>
            <w:rFonts w:ascii="Times New Roman" w:eastAsia="Times New Roman" w:hAnsi="Times New Roman" w:cs="Times New Roman"/>
            <w:sz w:val="24"/>
            <w:szCs w:val="24"/>
            <w:lang w:eastAsia="pt-PT"/>
          </w:rPr>
          <w:t>https://www.youtube.com/watch?v=-DpHm3xYxXQ&amp;ab_channel=MiddleEastEye</w:t>
        </w:r>
      </w:hyperlink>
      <w:r w:rsidRPr="009E3A67">
        <w:rPr>
          <w:rFonts w:ascii="Times New Roman" w:eastAsia="Times New Roman" w:hAnsi="Times New Roman" w:cs="Times New Roman"/>
          <w:sz w:val="24"/>
          <w:szCs w:val="24"/>
          <w:lang w:eastAsia="pt-PT"/>
        </w:rPr>
        <w:t>. Acesso em 22/05/2021.</w:t>
      </w:r>
    </w:p>
    <w:p w14:paraId="740E8132"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6B7F51EC"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NETANYAHU: “Hamas Are the New Nazis”. </w:t>
      </w:r>
      <w:r w:rsidRPr="009E3A67">
        <w:rPr>
          <w:rFonts w:ascii="Times New Roman" w:eastAsia="Times New Roman" w:hAnsi="Times New Roman" w:cs="Times New Roman"/>
          <w:i/>
          <w:iCs/>
          <w:sz w:val="24"/>
          <w:szCs w:val="24"/>
          <w:lang w:val="en-US" w:eastAsia="pt-PT"/>
        </w:rPr>
        <w:t>Bloomberg Quicktake</w:t>
      </w:r>
      <w:r w:rsidRPr="009E3A67">
        <w:rPr>
          <w:rFonts w:ascii="Times New Roman" w:eastAsia="Times New Roman" w:hAnsi="Times New Roman" w:cs="Times New Roman"/>
          <w:sz w:val="24"/>
          <w:szCs w:val="24"/>
          <w:lang w:val="en-US" w:eastAsia="pt-PT"/>
        </w:rPr>
        <w:t xml:space="preserve">, 19 out. 2023. 1 vídeo (40 seg.). </w:t>
      </w:r>
      <w:r w:rsidRPr="009E3A67">
        <w:rPr>
          <w:rFonts w:ascii="Times New Roman" w:eastAsia="Times New Roman" w:hAnsi="Times New Roman" w:cs="Times New Roman"/>
          <w:sz w:val="24"/>
          <w:szCs w:val="24"/>
          <w:lang w:eastAsia="pt-PT"/>
        </w:rPr>
        <w:t xml:space="preserve">Disponível em: </w:t>
      </w:r>
      <w:hyperlink r:id="rId87" w:history="1">
        <w:r w:rsidRPr="009E3A67">
          <w:rPr>
            <w:rStyle w:val="Hyperlink"/>
            <w:rFonts w:ascii="Times New Roman" w:eastAsia="Times New Roman" w:hAnsi="Times New Roman" w:cs="Times New Roman"/>
            <w:sz w:val="24"/>
            <w:szCs w:val="24"/>
            <w:lang w:eastAsia="pt-PT"/>
          </w:rPr>
          <w:t>https://www.youtube.com/watch?v=FHPpslWdj7c&amp;ab_channel=BloombergQuicktake</w:t>
        </w:r>
      </w:hyperlink>
      <w:r w:rsidRPr="009E3A67">
        <w:rPr>
          <w:rFonts w:ascii="Times New Roman" w:eastAsia="Times New Roman" w:hAnsi="Times New Roman" w:cs="Times New Roman"/>
          <w:sz w:val="24"/>
          <w:szCs w:val="24"/>
          <w:lang w:eastAsia="pt-PT"/>
        </w:rPr>
        <w:t>. Acesso em 19/10/2023.</w:t>
      </w:r>
    </w:p>
    <w:p w14:paraId="0E76C732"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7DC47166"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NKRUMAH, Kwame. </w:t>
      </w:r>
      <w:r w:rsidRPr="009E3A67">
        <w:rPr>
          <w:rFonts w:ascii="Times New Roman" w:eastAsia="Times New Roman" w:hAnsi="Times New Roman" w:cs="Times New Roman"/>
          <w:i/>
          <w:iCs/>
          <w:sz w:val="24"/>
          <w:szCs w:val="24"/>
          <w:lang w:val="en-US" w:eastAsia="pt-PT"/>
        </w:rPr>
        <w:t>Neo-Colonialism: The Last Stage of Imperialism</w:t>
      </w:r>
      <w:r w:rsidRPr="009E3A67">
        <w:rPr>
          <w:rFonts w:ascii="Times New Roman" w:eastAsia="Times New Roman" w:hAnsi="Times New Roman" w:cs="Times New Roman"/>
          <w:sz w:val="24"/>
          <w:szCs w:val="24"/>
          <w:lang w:val="en-US" w:eastAsia="pt-PT"/>
        </w:rPr>
        <w:t>. Nova Iorque: International Publishers, 1966.</w:t>
      </w:r>
    </w:p>
    <w:p w14:paraId="743F44A5"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3A39720A"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PALÁCIO IMPERIAL DE DESSALINES (PID). </w:t>
      </w:r>
      <w:r w:rsidRPr="009E3A67">
        <w:rPr>
          <w:rFonts w:ascii="Times New Roman" w:eastAsia="Times New Roman" w:hAnsi="Times New Roman" w:cs="Times New Roman"/>
          <w:i/>
          <w:iCs/>
          <w:sz w:val="24"/>
          <w:szCs w:val="24"/>
          <w:lang w:eastAsia="pt-PT"/>
        </w:rPr>
        <w:t xml:space="preserve">Constituição Imperial. </w:t>
      </w:r>
      <w:r w:rsidRPr="009E3A67">
        <w:rPr>
          <w:rFonts w:ascii="Times New Roman" w:eastAsia="Times New Roman" w:hAnsi="Times New Roman" w:cs="Times New Roman"/>
          <w:sz w:val="24"/>
          <w:szCs w:val="24"/>
          <w:lang w:eastAsia="pt-PT"/>
        </w:rPr>
        <w:t>15 jul. 1805. Disponível em:</w:t>
      </w:r>
      <w:r w:rsidRPr="009E3A67">
        <w:rPr>
          <w:rFonts w:ascii="Times New Roman" w:eastAsia="Times New Roman" w:hAnsi="Times New Roman" w:cs="Times New Roman"/>
          <w:i/>
          <w:iCs/>
          <w:sz w:val="24"/>
          <w:szCs w:val="24"/>
          <w:lang w:eastAsia="pt-PT"/>
        </w:rPr>
        <w:t xml:space="preserve"> </w:t>
      </w:r>
      <w:hyperlink r:id="rId88" w:history="1">
        <w:r w:rsidRPr="009E3A67">
          <w:rPr>
            <w:rStyle w:val="Hyperlink"/>
            <w:rFonts w:ascii="Times New Roman" w:hAnsi="Times New Roman" w:cs="Times New Roman"/>
            <w:sz w:val="24"/>
            <w:szCs w:val="24"/>
          </w:rPr>
          <w:t>https://haitidoi.com/constitutions/1805-2/</w:t>
        </w:r>
      </w:hyperlink>
      <w:r w:rsidRPr="009E3A67">
        <w:rPr>
          <w:rFonts w:ascii="Times New Roman" w:hAnsi="Times New Roman" w:cs="Times New Roman"/>
          <w:sz w:val="24"/>
          <w:szCs w:val="24"/>
        </w:rPr>
        <w:t>. Acesso em 12/01/2022.</w:t>
      </w:r>
    </w:p>
    <w:p w14:paraId="48D8CC77"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4028BB1C"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PALESTINE refugees. </w:t>
      </w:r>
      <w:r w:rsidRPr="009E3A67">
        <w:rPr>
          <w:rFonts w:ascii="Times New Roman" w:eastAsia="Times New Roman" w:hAnsi="Times New Roman" w:cs="Times New Roman"/>
          <w:i/>
          <w:iCs/>
          <w:sz w:val="24"/>
          <w:szCs w:val="24"/>
          <w:lang w:eastAsia="pt-PT"/>
        </w:rPr>
        <w:t>UNRWA</w:t>
      </w:r>
      <w:r w:rsidRPr="009E3A67">
        <w:rPr>
          <w:rFonts w:ascii="Times New Roman" w:eastAsia="Times New Roman" w:hAnsi="Times New Roman" w:cs="Times New Roman"/>
          <w:sz w:val="24"/>
          <w:szCs w:val="24"/>
          <w:lang w:eastAsia="pt-PT"/>
        </w:rPr>
        <w:t xml:space="preserve">, [s.d.]. Disponível em: </w:t>
      </w:r>
      <w:hyperlink r:id="rId89" w:history="1">
        <w:r w:rsidRPr="009E3A67">
          <w:rPr>
            <w:rStyle w:val="Hyperlink"/>
            <w:rFonts w:ascii="Times New Roman" w:hAnsi="Times New Roman" w:cs="Times New Roman"/>
            <w:sz w:val="24"/>
            <w:szCs w:val="24"/>
            <w:lang w:eastAsia="pt-PT"/>
          </w:rPr>
          <w:t>https://www.unrwa.org/palestine-refugees</w:t>
        </w:r>
      </w:hyperlink>
      <w:r w:rsidRPr="009E3A67">
        <w:rPr>
          <w:rFonts w:ascii="Times New Roman" w:eastAsia="Times New Roman" w:hAnsi="Times New Roman" w:cs="Times New Roman"/>
          <w:sz w:val="24"/>
          <w:szCs w:val="24"/>
          <w:lang w:eastAsia="pt-PT"/>
        </w:rPr>
        <w:t>. Acesso em 31/03/2023.</w:t>
      </w:r>
    </w:p>
    <w:p w14:paraId="759EFEC1"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6FA02D4B"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hAnsi="Times New Roman" w:cs="Times New Roman"/>
          <w:sz w:val="24"/>
          <w:szCs w:val="24"/>
          <w:lang w:val="en-US"/>
        </w:rPr>
        <w:t xml:space="preserve">PAPPÉ, Ilan. Israel’s incremental genocide in the Gaza ghetto. </w:t>
      </w:r>
      <w:r w:rsidRPr="009E3A67">
        <w:rPr>
          <w:rFonts w:ascii="Times New Roman" w:hAnsi="Times New Roman" w:cs="Times New Roman"/>
          <w:i/>
          <w:iCs/>
          <w:sz w:val="24"/>
          <w:szCs w:val="24"/>
        </w:rPr>
        <w:t>The Electronic Intifada</w:t>
      </w:r>
      <w:r w:rsidRPr="009E3A67">
        <w:rPr>
          <w:rFonts w:ascii="Times New Roman" w:hAnsi="Times New Roman" w:cs="Times New Roman"/>
          <w:sz w:val="24"/>
          <w:szCs w:val="24"/>
        </w:rPr>
        <w:t xml:space="preserve">, 13 jul. 2014. Disponível em: </w:t>
      </w:r>
      <w:hyperlink r:id="rId90" w:history="1">
        <w:r w:rsidRPr="009E3A67">
          <w:rPr>
            <w:rStyle w:val="Hyperlink"/>
            <w:rFonts w:ascii="Times New Roman" w:hAnsi="Times New Roman" w:cs="Times New Roman"/>
            <w:sz w:val="24"/>
            <w:szCs w:val="24"/>
          </w:rPr>
          <w:t>https://electronicintifada.net/content/israels-incremental-genocide-gaza-ghetto/13562</w:t>
        </w:r>
      </w:hyperlink>
      <w:r w:rsidRPr="009E3A67">
        <w:rPr>
          <w:rFonts w:ascii="Times New Roman" w:hAnsi="Times New Roman" w:cs="Times New Roman"/>
          <w:sz w:val="24"/>
          <w:szCs w:val="24"/>
        </w:rPr>
        <w:t>. Acesso em 14/02/2025.</w:t>
      </w:r>
    </w:p>
    <w:p w14:paraId="6EF687C3"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02C324E0"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______. </w:t>
      </w:r>
      <w:r w:rsidRPr="009E3A67">
        <w:rPr>
          <w:rFonts w:ascii="Times New Roman" w:eastAsia="Times New Roman" w:hAnsi="Times New Roman" w:cs="Times New Roman"/>
          <w:i/>
          <w:iCs/>
          <w:sz w:val="24"/>
          <w:szCs w:val="24"/>
          <w:lang w:val="en-US" w:eastAsia="pt-PT"/>
        </w:rPr>
        <w:t>The Ethnic Cleansing of Palestine</w:t>
      </w:r>
      <w:r w:rsidRPr="009E3A67">
        <w:rPr>
          <w:rFonts w:ascii="Times New Roman" w:eastAsia="Times New Roman" w:hAnsi="Times New Roman" w:cs="Times New Roman"/>
          <w:sz w:val="24"/>
          <w:szCs w:val="24"/>
          <w:lang w:val="en-US" w:eastAsia="pt-PT"/>
        </w:rPr>
        <w:t>. Londres: Oneworld, 2007.</w:t>
      </w:r>
    </w:p>
    <w:p w14:paraId="136A618C"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732CE5DD"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PARLAMENTO DE ISRAEL (KNESSET). </w:t>
      </w:r>
      <w:r w:rsidRPr="009E3A67">
        <w:rPr>
          <w:rFonts w:ascii="Times New Roman" w:hAnsi="Times New Roman" w:cs="Times New Roman"/>
          <w:i/>
          <w:iCs/>
          <w:sz w:val="24"/>
          <w:szCs w:val="24"/>
        </w:rPr>
        <w:t>Declaração do Estabelecimento do Estado de Israel</w:t>
      </w:r>
      <w:r w:rsidRPr="009E3A67">
        <w:rPr>
          <w:rFonts w:ascii="Times New Roman" w:hAnsi="Times New Roman" w:cs="Times New Roman"/>
          <w:sz w:val="24"/>
          <w:szCs w:val="24"/>
        </w:rPr>
        <w:t xml:space="preserve">. 14 mai. 1948. Disponível em: </w:t>
      </w:r>
      <w:hyperlink r:id="rId91" w:history="1">
        <w:r w:rsidRPr="009E3A67">
          <w:rPr>
            <w:rStyle w:val="Hyperlink"/>
            <w:rFonts w:ascii="Times New Roman" w:hAnsi="Times New Roman" w:cs="Times New Roman"/>
            <w:sz w:val="24"/>
            <w:szCs w:val="24"/>
          </w:rPr>
          <w:t>https://main.knesset.gov.il/en/about/pages/declaration.aspx</w:t>
        </w:r>
      </w:hyperlink>
      <w:r w:rsidRPr="009E3A67">
        <w:rPr>
          <w:rFonts w:ascii="Times New Roman" w:hAnsi="Times New Roman" w:cs="Times New Roman"/>
          <w:sz w:val="24"/>
          <w:szCs w:val="24"/>
        </w:rPr>
        <w:t>. Acesso em 12/01/2022.</w:t>
      </w:r>
    </w:p>
    <w:p w14:paraId="1C7B545C"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426017AD"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______. </w:t>
      </w:r>
      <w:r w:rsidRPr="009E3A67">
        <w:rPr>
          <w:rFonts w:ascii="Times New Roman" w:eastAsia="Times New Roman" w:hAnsi="Times New Roman" w:cs="Times New Roman"/>
          <w:i/>
          <w:iCs/>
          <w:sz w:val="24"/>
          <w:szCs w:val="24"/>
          <w:lang w:eastAsia="pt-PT"/>
        </w:rPr>
        <w:t xml:space="preserve">Lei dos Proprietários Ausentes, 5710-1950. </w:t>
      </w:r>
      <w:r w:rsidRPr="009E3A67">
        <w:rPr>
          <w:rFonts w:ascii="Times New Roman" w:eastAsia="Times New Roman" w:hAnsi="Times New Roman" w:cs="Times New Roman"/>
          <w:sz w:val="24"/>
          <w:szCs w:val="24"/>
          <w:lang w:eastAsia="pt-PT"/>
        </w:rPr>
        <w:t>14 mar. 1950. Disponível em:</w:t>
      </w:r>
      <w:r w:rsidRPr="009E3A67">
        <w:rPr>
          <w:rFonts w:ascii="Times New Roman" w:eastAsia="Times New Roman" w:hAnsi="Times New Roman" w:cs="Times New Roman"/>
          <w:b/>
          <w:bCs/>
          <w:sz w:val="24"/>
          <w:szCs w:val="24"/>
          <w:lang w:eastAsia="pt-PT"/>
        </w:rPr>
        <w:t xml:space="preserve"> </w:t>
      </w:r>
      <w:hyperlink r:id="rId92" w:history="1">
        <w:r w:rsidRPr="009E3A67">
          <w:rPr>
            <w:rStyle w:val="Hyperlink"/>
            <w:rFonts w:ascii="Times New Roman" w:eastAsia="Times New Roman" w:hAnsi="Times New Roman" w:cs="Times New Roman"/>
            <w:sz w:val="24"/>
            <w:szCs w:val="24"/>
            <w:lang w:eastAsia="pt-PT"/>
          </w:rPr>
          <w:t>https://www.adalah.org/uploads/oldfiles/Public/files/Discriminatory-Laws-Database/English/04-Absentees-Property-Law-1950.pdf</w:t>
        </w:r>
      </w:hyperlink>
      <w:r w:rsidRPr="009E3A67">
        <w:rPr>
          <w:rFonts w:ascii="Times New Roman" w:eastAsia="Times New Roman" w:hAnsi="Times New Roman" w:cs="Times New Roman"/>
          <w:sz w:val="24"/>
          <w:szCs w:val="24"/>
          <w:lang w:eastAsia="pt-PT"/>
        </w:rPr>
        <w:t>. Acesso em: 12/01/2022.</w:t>
      </w:r>
    </w:p>
    <w:p w14:paraId="7B7921E8"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7116CE38"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______. </w:t>
      </w:r>
      <w:r w:rsidRPr="009E3A67">
        <w:rPr>
          <w:rFonts w:ascii="Times New Roman" w:eastAsia="Times New Roman" w:hAnsi="Times New Roman" w:cs="Times New Roman"/>
          <w:i/>
          <w:iCs/>
          <w:sz w:val="24"/>
          <w:szCs w:val="24"/>
          <w:lang w:eastAsia="pt-PT"/>
        </w:rPr>
        <w:t xml:space="preserve">Lei do Retorno, 5710-1950. </w:t>
      </w:r>
      <w:r w:rsidRPr="009E3A67">
        <w:rPr>
          <w:rFonts w:ascii="Times New Roman" w:eastAsia="Times New Roman" w:hAnsi="Times New Roman" w:cs="Times New Roman"/>
          <w:sz w:val="24"/>
          <w:szCs w:val="24"/>
          <w:lang w:eastAsia="pt-PT"/>
        </w:rPr>
        <w:t>5 jul. 1950. Disponível em:</w:t>
      </w:r>
      <w:r w:rsidRPr="009E3A67">
        <w:rPr>
          <w:rFonts w:ascii="Times New Roman" w:eastAsia="Times New Roman" w:hAnsi="Times New Roman" w:cs="Times New Roman"/>
          <w:i/>
          <w:iCs/>
          <w:sz w:val="24"/>
          <w:szCs w:val="24"/>
          <w:lang w:eastAsia="pt-PT"/>
        </w:rPr>
        <w:t xml:space="preserve"> </w:t>
      </w:r>
      <w:r w:rsidRPr="009E3A67">
        <w:rPr>
          <w:rStyle w:val="Hyperlink"/>
          <w:rFonts w:ascii="Times New Roman" w:hAnsi="Times New Roman" w:cs="Times New Roman"/>
          <w:sz w:val="24"/>
          <w:szCs w:val="24"/>
        </w:rPr>
        <w:t>https://main.knesset.gov.il/EN/About/History/Documents/kns1_return_eng.pdf</w:t>
      </w:r>
      <w:r w:rsidRPr="009E3A67">
        <w:rPr>
          <w:rFonts w:ascii="Times New Roman" w:eastAsia="Times New Roman" w:hAnsi="Times New Roman" w:cs="Times New Roman"/>
          <w:sz w:val="24"/>
          <w:szCs w:val="24"/>
          <w:lang w:eastAsia="pt-PT"/>
        </w:rPr>
        <w:t>. Acesso em 12/01/2022.</w:t>
      </w:r>
    </w:p>
    <w:p w14:paraId="12F22DD0"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6FD43497"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______. </w:t>
      </w:r>
      <w:r w:rsidRPr="009E3A67">
        <w:rPr>
          <w:rFonts w:ascii="Times New Roman" w:eastAsia="Times New Roman" w:hAnsi="Times New Roman" w:cs="Times New Roman"/>
          <w:i/>
          <w:iCs/>
          <w:sz w:val="24"/>
          <w:szCs w:val="24"/>
          <w:lang w:eastAsia="pt-PT"/>
        </w:rPr>
        <w:t xml:space="preserve">Lei da Propriedade Estatal, 5711-1951. </w:t>
      </w:r>
      <w:r w:rsidRPr="009E3A67">
        <w:rPr>
          <w:rFonts w:ascii="Times New Roman" w:eastAsia="Times New Roman" w:hAnsi="Times New Roman" w:cs="Times New Roman"/>
          <w:sz w:val="24"/>
          <w:szCs w:val="24"/>
          <w:lang w:eastAsia="pt-PT"/>
        </w:rPr>
        <w:t>6 fev. 1951. Disponível em:</w:t>
      </w:r>
      <w:r w:rsidRPr="009E3A67">
        <w:rPr>
          <w:rFonts w:ascii="Times New Roman" w:eastAsia="Times New Roman" w:hAnsi="Times New Roman" w:cs="Times New Roman"/>
          <w:i/>
          <w:iCs/>
          <w:sz w:val="24"/>
          <w:szCs w:val="24"/>
          <w:lang w:eastAsia="pt-PT"/>
        </w:rPr>
        <w:t xml:space="preserve"> </w:t>
      </w:r>
      <w:hyperlink r:id="rId93" w:history="1">
        <w:r w:rsidRPr="009E3A67">
          <w:rPr>
            <w:rStyle w:val="Hyperlink"/>
            <w:rFonts w:ascii="Times New Roman" w:eastAsia="Times New Roman" w:hAnsi="Times New Roman" w:cs="Times New Roman"/>
            <w:sz w:val="24"/>
            <w:szCs w:val="24"/>
            <w:lang w:eastAsia="pt-PT"/>
          </w:rPr>
          <w:t>https://www.geocities.ws/savepalestinenow/israellaws/fulltext/statepropertylaw.htm</w:t>
        </w:r>
      </w:hyperlink>
      <w:r w:rsidRPr="009E3A67">
        <w:rPr>
          <w:rFonts w:ascii="Times New Roman" w:eastAsia="Times New Roman" w:hAnsi="Times New Roman" w:cs="Times New Roman"/>
          <w:sz w:val="24"/>
          <w:szCs w:val="24"/>
          <w:lang w:eastAsia="pt-PT"/>
        </w:rPr>
        <w:t>. Acesso em 12/01/2022.</w:t>
      </w:r>
    </w:p>
    <w:p w14:paraId="3AF26F41"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01A2E7C2"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61A1BA77"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______. </w:t>
      </w:r>
      <w:r w:rsidRPr="009E3A67">
        <w:rPr>
          <w:rFonts w:ascii="Times New Roman" w:eastAsia="Times New Roman" w:hAnsi="Times New Roman" w:cs="Times New Roman"/>
          <w:i/>
          <w:iCs/>
          <w:sz w:val="24"/>
          <w:szCs w:val="24"/>
          <w:lang w:eastAsia="pt-PT"/>
        </w:rPr>
        <w:t xml:space="preserve">Lei da Nacionalidade, 5712-1952. </w:t>
      </w:r>
      <w:r w:rsidRPr="009E3A67">
        <w:rPr>
          <w:rFonts w:ascii="Times New Roman" w:eastAsia="Times New Roman" w:hAnsi="Times New Roman" w:cs="Times New Roman"/>
          <w:sz w:val="24"/>
          <w:szCs w:val="24"/>
          <w:lang w:eastAsia="pt-PT"/>
        </w:rPr>
        <w:t>1 abr. 1952. Disponível em:</w:t>
      </w:r>
      <w:r w:rsidRPr="009E3A67">
        <w:rPr>
          <w:rFonts w:ascii="Times New Roman" w:eastAsia="Times New Roman" w:hAnsi="Times New Roman" w:cs="Times New Roman"/>
          <w:i/>
          <w:iCs/>
          <w:sz w:val="24"/>
          <w:szCs w:val="24"/>
          <w:lang w:eastAsia="pt-PT"/>
        </w:rPr>
        <w:t xml:space="preserve"> </w:t>
      </w:r>
      <w:hyperlink r:id="rId94" w:history="1">
        <w:r w:rsidRPr="009E3A67">
          <w:rPr>
            <w:rStyle w:val="Hyperlink"/>
            <w:rFonts w:ascii="Times New Roman" w:eastAsia="Times New Roman" w:hAnsi="Times New Roman" w:cs="Times New Roman"/>
            <w:sz w:val="24"/>
            <w:szCs w:val="24"/>
            <w:lang w:eastAsia="pt-PT"/>
          </w:rPr>
          <w:t>https://main.knesset.gov.il/EN/about/history/documents/kns2_nationality_eng.pdf</w:t>
        </w:r>
      </w:hyperlink>
      <w:r w:rsidRPr="009E3A67">
        <w:rPr>
          <w:rFonts w:ascii="Times New Roman" w:eastAsia="Times New Roman" w:hAnsi="Times New Roman" w:cs="Times New Roman"/>
          <w:sz w:val="24"/>
          <w:szCs w:val="24"/>
          <w:lang w:eastAsia="pt-PT"/>
        </w:rPr>
        <w:t>. Acesso em 12/01/2022.</w:t>
      </w:r>
    </w:p>
    <w:p w14:paraId="147B61E4"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5C673407"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______. </w:t>
      </w:r>
      <w:r w:rsidRPr="009E3A67">
        <w:rPr>
          <w:rFonts w:ascii="Times New Roman" w:eastAsia="Times New Roman" w:hAnsi="Times New Roman" w:cs="Times New Roman"/>
          <w:i/>
          <w:iCs/>
          <w:sz w:val="24"/>
          <w:szCs w:val="24"/>
          <w:lang w:eastAsia="pt-PT"/>
        </w:rPr>
        <w:t xml:space="preserve">Lei da Aquisição de Terras, 5713-1953. </w:t>
      </w:r>
      <w:r w:rsidRPr="009E3A67">
        <w:rPr>
          <w:rFonts w:ascii="Times New Roman" w:eastAsia="Times New Roman" w:hAnsi="Times New Roman" w:cs="Times New Roman"/>
          <w:sz w:val="24"/>
          <w:szCs w:val="24"/>
          <w:lang w:eastAsia="pt-PT"/>
        </w:rPr>
        <w:t>1 mar. 1953. Disponível em:</w:t>
      </w:r>
      <w:r w:rsidRPr="009E3A67">
        <w:rPr>
          <w:rFonts w:ascii="Times New Roman" w:eastAsia="Times New Roman" w:hAnsi="Times New Roman" w:cs="Times New Roman"/>
          <w:i/>
          <w:iCs/>
          <w:sz w:val="24"/>
          <w:szCs w:val="24"/>
          <w:lang w:eastAsia="pt-PT"/>
        </w:rPr>
        <w:t xml:space="preserve"> </w:t>
      </w:r>
      <w:hyperlink r:id="rId95" w:history="1">
        <w:r w:rsidRPr="009E3A67">
          <w:rPr>
            <w:rStyle w:val="Hyperlink"/>
            <w:rFonts w:ascii="Times New Roman" w:eastAsia="Times New Roman" w:hAnsi="Times New Roman" w:cs="Times New Roman"/>
            <w:sz w:val="24"/>
            <w:szCs w:val="24"/>
            <w:lang w:eastAsia="pt-PT"/>
          </w:rPr>
          <w:t>https://jewishvoiceforpeace.org/wp-content/uploads/2016/06/Israeli-Land-Acquisition-Law-1953.pdf</w:t>
        </w:r>
      </w:hyperlink>
      <w:r w:rsidRPr="009E3A67">
        <w:rPr>
          <w:rFonts w:ascii="Times New Roman" w:eastAsia="Times New Roman" w:hAnsi="Times New Roman" w:cs="Times New Roman"/>
          <w:sz w:val="24"/>
          <w:szCs w:val="24"/>
          <w:lang w:eastAsia="pt-PT"/>
        </w:rPr>
        <w:t>. Acesso em 12/01/2022.</w:t>
      </w:r>
    </w:p>
    <w:p w14:paraId="7E43E654"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0DE8130A"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______. </w:t>
      </w:r>
      <w:r w:rsidRPr="009E3A67">
        <w:rPr>
          <w:rFonts w:ascii="Times New Roman" w:eastAsia="Times New Roman" w:hAnsi="Times New Roman" w:cs="Times New Roman"/>
          <w:i/>
          <w:iCs/>
          <w:sz w:val="24"/>
          <w:szCs w:val="24"/>
          <w:lang w:val="en-US" w:eastAsia="pt-PT"/>
        </w:rPr>
        <w:t xml:space="preserve">Speech by Federal Chancellor Angela Merkel to the Knesset in Jerusalem. </w:t>
      </w:r>
      <w:r w:rsidRPr="009E3A67">
        <w:rPr>
          <w:rFonts w:ascii="Times New Roman" w:eastAsia="Times New Roman" w:hAnsi="Times New Roman" w:cs="Times New Roman"/>
          <w:sz w:val="24"/>
          <w:szCs w:val="24"/>
          <w:lang w:eastAsia="pt-PT"/>
        </w:rPr>
        <w:t>18 mar. 2008. Disponível em:</w:t>
      </w:r>
      <w:r w:rsidRPr="009E3A67">
        <w:rPr>
          <w:rFonts w:ascii="Times New Roman" w:eastAsia="Times New Roman" w:hAnsi="Times New Roman" w:cs="Times New Roman"/>
          <w:i/>
          <w:iCs/>
          <w:sz w:val="24"/>
          <w:szCs w:val="24"/>
          <w:lang w:eastAsia="pt-PT"/>
        </w:rPr>
        <w:t xml:space="preserve"> </w:t>
      </w:r>
      <w:hyperlink r:id="rId96" w:history="1">
        <w:r w:rsidRPr="009E3A67">
          <w:rPr>
            <w:rStyle w:val="Hyperlink"/>
            <w:rFonts w:ascii="Times New Roman" w:eastAsia="Times New Roman" w:hAnsi="Times New Roman" w:cs="Times New Roman"/>
            <w:sz w:val="24"/>
            <w:szCs w:val="24"/>
            <w:lang w:eastAsia="pt-PT"/>
          </w:rPr>
          <w:t>https://m.knesset.gov.il/EN/activity/Documents/SpeechPdf/merkel.pdf</w:t>
        </w:r>
      </w:hyperlink>
      <w:r w:rsidRPr="009E3A67">
        <w:rPr>
          <w:rFonts w:ascii="Times New Roman" w:eastAsia="Times New Roman" w:hAnsi="Times New Roman" w:cs="Times New Roman"/>
          <w:sz w:val="24"/>
          <w:szCs w:val="24"/>
          <w:lang w:eastAsia="pt-PT"/>
        </w:rPr>
        <w:t>. Acesso em: 12/01/2022.</w:t>
      </w:r>
    </w:p>
    <w:p w14:paraId="1B2F171D"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78967B03"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PATAI, Raphael (org.). </w:t>
      </w:r>
      <w:r w:rsidRPr="009E3A67">
        <w:rPr>
          <w:rFonts w:ascii="Times New Roman" w:eastAsia="Times New Roman" w:hAnsi="Times New Roman" w:cs="Times New Roman"/>
          <w:i/>
          <w:iCs/>
          <w:sz w:val="24"/>
          <w:szCs w:val="24"/>
          <w:lang w:val="en-US" w:eastAsia="pt-PT"/>
        </w:rPr>
        <w:t>The Complete Diaries of Theodor Herzl</w:t>
      </w:r>
      <w:r w:rsidRPr="009E3A67">
        <w:rPr>
          <w:rFonts w:ascii="Times New Roman" w:eastAsia="Times New Roman" w:hAnsi="Times New Roman" w:cs="Times New Roman"/>
          <w:sz w:val="24"/>
          <w:szCs w:val="24"/>
          <w:lang w:val="en-US" w:eastAsia="pt-PT"/>
        </w:rPr>
        <w:t xml:space="preserve">. </w:t>
      </w:r>
      <w:r w:rsidRPr="009E3A67">
        <w:rPr>
          <w:rFonts w:ascii="Times New Roman" w:eastAsia="Times New Roman" w:hAnsi="Times New Roman" w:cs="Times New Roman"/>
          <w:sz w:val="24"/>
          <w:szCs w:val="24"/>
          <w:lang w:eastAsia="pt-PT"/>
        </w:rPr>
        <w:t>Traduzido: Harry Zohn. Nova Iorque: Thomas Yoseloff, 1960.</w:t>
      </w:r>
    </w:p>
    <w:p w14:paraId="3FFA2D3B"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7BA6161C"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REAGAN, Ronald. Farewell Address to the Nation. </w:t>
      </w:r>
      <w:r w:rsidRPr="009E3A67">
        <w:rPr>
          <w:rFonts w:ascii="Times New Roman" w:eastAsia="Times New Roman" w:hAnsi="Times New Roman" w:cs="Times New Roman"/>
          <w:i/>
          <w:iCs/>
          <w:sz w:val="24"/>
          <w:szCs w:val="24"/>
          <w:lang w:val="en-US" w:eastAsia="pt-PT"/>
        </w:rPr>
        <w:t>Ronald Reagan Presidential Library &amp; Museum</w:t>
      </w:r>
      <w:r w:rsidRPr="009E3A67">
        <w:rPr>
          <w:rFonts w:ascii="Times New Roman" w:eastAsia="Times New Roman" w:hAnsi="Times New Roman" w:cs="Times New Roman"/>
          <w:sz w:val="24"/>
          <w:szCs w:val="24"/>
          <w:lang w:val="en-US" w:eastAsia="pt-PT"/>
        </w:rPr>
        <w:t xml:space="preserve">, 11 jan. 1989. </w:t>
      </w:r>
      <w:r w:rsidRPr="009E3A67">
        <w:rPr>
          <w:rFonts w:ascii="Times New Roman" w:eastAsia="Times New Roman" w:hAnsi="Times New Roman" w:cs="Times New Roman"/>
          <w:sz w:val="24"/>
          <w:szCs w:val="24"/>
          <w:lang w:eastAsia="pt-PT"/>
        </w:rPr>
        <w:t xml:space="preserve">Disponível em: </w:t>
      </w:r>
      <w:hyperlink r:id="rId97" w:history="1">
        <w:r w:rsidRPr="009E3A67">
          <w:rPr>
            <w:rStyle w:val="Hyperlink"/>
            <w:rFonts w:ascii="Times New Roman" w:eastAsia="Times New Roman" w:hAnsi="Times New Roman" w:cs="Times New Roman"/>
            <w:sz w:val="24"/>
            <w:szCs w:val="24"/>
            <w:lang w:eastAsia="pt-PT"/>
          </w:rPr>
          <w:t>https://www.reaganlibrary.gov/archives/speech/farewell-address-nation</w:t>
        </w:r>
      </w:hyperlink>
      <w:r w:rsidRPr="009E3A67">
        <w:rPr>
          <w:rFonts w:ascii="Times New Roman" w:eastAsia="Times New Roman" w:hAnsi="Times New Roman" w:cs="Times New Roman"/>
          <w:sz w:val="24"/>
          <w:szCs w:val="24"/>
          <w:lang w:eastAsia="pt-PT"/>
        </w:rPr>
        <w:t>. Acesso em: 31/03/2023.</w:t>
      </w:r>
    </w:p>
    <w:p w14:paraId="2DAB1CAB"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1877A690"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RELATORA ESPECIAL DA ONU PARA OS TERRITÓRIOS PALESTINIANOS OCUPADOS (FRANCESCA ALBANESE). </w:t>
      </w:r>
      <w:r w:rsidRPr="009E3A67">
        <w:rPr>
          <w:rFonts w:ascii="Times New Roman" w:hAnsi="Times New Roman" w:cs="Times New Roman"/>
          <w:i/>
          <w:iCs/>
          <w:sz w:val="24"/>
          <w:szCs w:val="24"/>
        </w:rPr>
        <w:t>Genocide as colonial erasure</w:t>
      </w:r>
      <w:r w:rsidRPr="009E3A67">
        <w:rPr>
          <w:rFonts w:ascii="Times New Roman" w:hAnsi="Times New Roman" w:cs="Times New Roman"/>
          <w:sz w:val="24"/>
          <w:szCs w:val="24"/>
        </w:rPr>
        <w:t xml:space="preserve">. 1 out. 2024. Disponível em: </w:t>
      </w:r>
      <w:hyperlink r:id="rId98" w:history="1">
        <w:r w:rsidRPr="009E3A67">
          <w:rPr>
            <w:rStyle w:val="Hyperlink"/>
            <w:rFonts w:ascii="Times New Roman" w:hAnsi="Times New Roman" w:cs="Times New Roman"/>
            <w:sz w:val="24"/>
            <w:szCs w:val="24"/>
          </w:rPr>
          <w:t>https://www.un.org/unispal/document/genocide-as-colonial-erasure-report-francesca-albanese-01oct24/</w:t>
        </w:r>
      </w:hyperlink>
      <w:r w:rsidRPr="009E3A67">
        <w:rPr>
          <w:rFonts w:ascii="Times New Roman" w:hAnsi="Times New Roman" w:cs="Times New Roman"/>
          <w:sz w:val="24"/>
          <w:szCs w:val="24"/>
        </w:rPr>
        <w:t>. Acesso em 02/10/2024.</w:t>
      </w:r>
    </w:p>
    <w:p w14:paraId="413D9F01"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7409C825" w14:textId="77777777" w:rsidR="00FF4AC8" w:rsidRPr="009E3A67" w:rsidRDefault="00FF4AC8" w:rsidP="00553CA3">
      <w:pPr>
        <w:pStyle w:val="PargrafodaLista"/>
        <w:numPr>
          <w:ilvl w:val="0"/>
          <w:numId w:val="1"/>
        </w:numPr>
        <w:spacing w:after="0" w:line="240" w:lineRule="auto"/>
        <w:ind w:left="0" w:firstLine="0"/>
        <w:jc w:val="both"/>
        <w:rPr>
          <w:rFonts w:ascii="Times New Roman" w:hAnsi="Times New Roman" w:cs="Times New Roman"/>
          <w:sz w:val="24"/>
          <w:szCs w:val="24"/>
        </w:rPr>
      </w:pPr>
      <w:r w:rsidRPr="009E3A67">
        <w:rPr>
          <w:rFonts w:ascii="Times New Roman" w:hAnsi="Times New Roman" w:cs="Times New Roman"/>
          <w:sz w:val="24"/>
          <w:szCs w:val="24"/>
        </w:rPr>
        <w:t xml:space="preserve">SAID, Edward. </w:t>
      </w:r>
      <w:r w:rsidRPr="009E3A67">
        <w:rPr>
          <w:rFonts w:ascii="Times New Roman" w:hAnsi="Times New Roman" w:cs="Times New Roman"/>
          <w:i/>
          <w:iCs/>
          <w:sz w:val="24"/>
          <w:szCs w:val="24"/>
        </w:rPr>
        <w:t>Orientalismo: representações ocidentais do Oriente</w:t>
      </w:r>
      <w:r w:rsidRPr="009E3A67">
        <w:rPr>
          <w:rFonts w:ascii="Times New Roman" w:hAnsi="Times New Roman" w:cs="Times New Roman"/>
          <w:sz w:val="24"/>
          <w:szCs w:val="24"/>
        </w:rPr>
        <w:t>. Tradução: Pedro Serra. Lisboa: Cotovia, 2004 [1978].</w:t>
      </w:r>
    </w:p>
    <w:p w14:paraId="36502B07" w14:textId="77777777" w:rsidR="00FF4AC8" w:rsidRPr="009E3A67" w:rsidRDefault="00FF4AC8" w:rsidP="00553CA3">
      <w:pPr>
        <w:pStyle w:val="PargrafodaLista"/>
        <w:spacing w:after="0" w:line="240" w:lineRule="auto"/>
        <w:ind w:left="0"/>
        <w:jc w:val="both"/>
        <w:rPr>
          <w:rFonts w:ascii="Times New Roman" w:hAnsi="Times New Roman" w:cs="Times New Roman"/>
          <w:sz w:val="24"/>
          <w:szCs w:val="24"/>
        </w:rPr>
      </w:pPr>
    </w:p>
    <w:p w14:paraId="3C8F817C"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SAYEGH, Fayez. </w:t>
      </w:r>
      <w:r w:rsidRPr="009E3A67">
        <w:rPr>
          <w:rFonts w:ascii="Times New Roman" w:eastAsia="Times New Roman" w:hAnsi="Times New Roman" w:cs="Times New Roman"/>
          <w:i/>
          <w:iCs/>
          <w:sz w:val="24"/>
          <w:szCs w:val="24"/>
          <w:lang w:val="en-US" w:eastAsia="pt-PT"/>
        </w:rPr>
        <w:t>Zionist Colonialism in Palestine</w:t>
      </w:r>
      <w:r w:rsidRPr="009E3A67">
        <w:rPr>
          <w:rFonts w:ascii="Times New Roman" w:eastAsia="Times New Roman" w:hAnsi="Times New Roman" w:cs="Times New Roman"/>
          <w:sz w:val="24"/>
          <w:szCs w:val="24"/>
          <w:lang w:val="en-US" w:eastAsia="pt-PT"/>
        </w:rPr>
        <w:t>. Beirute: Research Center, Palestine Liberation Organization, 1965.</w:t>
      </w:r>
    </w:p>
    <w:p w14:paraId="686758FF"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5FCE1E81"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SCHORSKE, Carl Schorske. </w:t>
      </w:r>
      <w:r w:rsidRPr="009E3A67">
        <w:rPr>
          <w:rFonts w:ascii="Times New Roman" w:eastAsia="Times New Roman" w:hAnsi="Times New Roman" w:cs="Times New Roman"/>
          <w:i/>
          <w:iCs/>
          <w:sz w:val="24"/>
          <w:szCs w:val="24"/>
          <w:lang w:val="en-US" w:eastAsia="pt-PT"/>
        </w:rPr>
        <w:t>Fin-de-siecle Vienna: politics and culture</w:t>
      </w:r>
      <w:r w:rsidRPr="009E3A67">
        <w:rPr>
          <w:rFonts w:ascii="Times New Roman" w:eastAsia="Times New Roman" w:hAnsi="Times New Roman" w:cs="Times New Roman"/>
          <w:sz w:val="24"/>
          <w:szCs w:val="24"/>
          <w:lang w:val="en-US" w:eastAsia="pt-PT"/>
        </w:rPr>
        <w:t>. Nova Iorque: Vintage Books, 2012.</w:t>
      </w:r>
    </w:p>
    <w:p w14:paraId="01751BF9"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04BEE286"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SECURITY Council. </w:t>
      </w:r>
      <w:r w:rsidRPr="009E3A67">
        <w:rPr>
          <w:rFonts w:ascii="Times New Roman" w:eastAsia="Times New Roman" w:hAnsi="Times New Roman" w:cs="Times New Roman"/>
          <w:i/>
          <w:iCs/>
          <w:sz w:val="24"/>
          <w:szCs w:val="24"/>
          <w:lang w:val="en-US" w:eastAsia="pt-PT"/>
        </w:rPr>
        <w:t>United Nations</w:t>
      </w:r>
      <w:r w:rsidRPr="009E3A67">
        <w:rPr>
          <w:rFonts w:ascii="Times New Roman" w:eastAsia="Times New Roman" w:hAnsi="Times New Roman" w:cs="Times New Roman"/>
          <w:sz w:val="24"/>
          <w:szCs w:val="24"/>
          <w:lang w:val="en-US" w:eastAsia="pt-PT"/>
        </w:rPr>
        <w:t xml:space="preserve">, [s.d.]c. </w:t>
      </w:r>
      <w:r w:rsidRPr="009E3A67">
        <w:rPr>
          <w:rFonts w:ascii="Times New Roman" w:eastAsia="Times New Roman" w:hAnsi="Times New Roman" w:cs="Times New Roman"/>
          <w:sz w:val="24"/>
          <w:szCs w:val="24"/>
          <w:lang w:eastAsia="pt-PT"/>
        </w:rPr>
        <w:t>Disponível em: https://main.un.org/securitycouncil/en/about_test1#:~:text=The%20Council%20has%2015%20Members,peace%20or%20act%20of%20aggression. Acesso em 14/02/2025.</w:t>
      </w:r>
    </w:p>
    <w:p w14:paraId="2A04D199" w14:textId="77777777" w:rsidR="00FF4AC8" w:rsidRPr="009E3A67" w:rsidRDefault="00FF4AC8" w:rsidP="00553CA3">
      <w:pPr>
        <w:spacing w:after="0" w:line="240" w:lineRule="auto"/>
        <w:jc w:val="both"/>
        <w:rPr>
          <w:rFonts w:ascii="Times New Roman" w:eastAsia="Times New Roman" w:hAnsi="Times New Roman" w:cs="Times New Roman"/>
          <w:sz w:val="24"/>
          <w:szCs w:val="24"/>
          <w:lang w:eastAsia="pt-PT"/>
        </w:rPr>
      </w:pPr>
    </w:p>
    <w:p w14:paraId="15E9B249"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SHAFIR, Gershon. </w:t>
      </w:r>
      <w:r w:rsidRPr="009E3A67">
        <w:rPr>
          <w:rFonts w:ascii="Times New Roman" w:eastAsia="Times New Roman" w:hAnsi="Times New Roman" w:cs="Times New Roman"/>
          <w:i/>
          <w:iCs/>
          <w:sz w:val="24"/>
          <w:szCs w:val="24"/>
          <w:lang w:val="en-US" w:eastAsia="pt-PT"/>
        </w:rPr>
        <w:t>Land, labor, and the origins of the Israeli-Palestinian conflict, 1882-1914</w:t>
      </w:r>
      <w:r w:rsidRPr="009E3A67">
        <w:rPr>
          <w:rFonts w:ascii="Times New Roman" w:eastAsia="Times New Roman" w:hAnsi="Times New Roman" w:cs="Times New Roman"/>
          <w:sz w:val="24"/>
          <w:szCs w:val="24"/>
          <w:lang w:val="en-US" w:eastAsia="pt-PT"/>
        </w:rPr>
        <w:t>. Cambridge: Cambridge University Press, 1989.</w:t>
      </w:r>
    </w:p>
    <w:p w14:paraId="41694A96"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7F5F3730"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SHAKUR, Renato. A Abolição da escravidão e o medo da “haitianização” no Brasil. </w:t>
      </w:r>
      <w:r w:rsidRPr="009E3A67">
        <w:rPr>
          <w:rFonts w:ascii="Times New Roman" w:eastAsia="Times New Roman" w:hAnsi="Times New Roman" w:cs="Times New Roman"/>
          <w:i/>
          <w:iCs/>
          <w:sz w:val="24"/>
          <w:szCs w:val="24"/>
          <w:lang w:eastAsia="pt-PT"/>
        </w:rPr>
        <w:t>Esquerda Diário</w:t>
      </w:r>
      <w:r w:rsidRPr="009E3A67">
        <w:rPr>
          <w:rFonts w:ascii="Times New Roman" w:eastAsia="Times New Roman" w:hAnsi="Times New Roman" w:cs="Times New Roman"/>
          <w:sz w:val="24"/>
          <w:szCs w:val="24"/>
          <w:lang w:eastAsia="pt-PT"/>
        </w:rPr>
        <w:t xml:space="preserve">, 13 mai. 2020. Disponível em: </w:t>
      </w:r>
      <w:hyperlink r:id="rId99" w:history="1">
        <w:r w:rsidRPr="009E3A67">
          <w:rPr>
            <w:rStyle w:val="Hyperlink"/>
            <w:rFonts w:ascii="Times New Roman" w:eastAsia="Times New Roman" w:hAnsi="Times New Roman" w:cs="Times New Roman"/>
            <w:sz w:val="24"/>
            <w:szCs w:val="24"/>
            <w:lang w:eastAsia="pt-PT"/>
          </w:rPr>
          <w:t>https://www.esquerdadiario.com.br/A-Abolicao-da-escravidao-e-o-medo-da-haitianizacao-no-Brasil. Acesso em 31/03/2023</w:t>
        </w:r>
      </w:hyperlink>
      <w:r w:rsidRPr="009E3A67">
        <w:rPr>
          <w:rFonts w:ascii="Times New Roman" w:eastAsia="Times New Roman" w:hAnsi="Times New Roman" w:cs="Times New Roman"/>
          <w:sz w:val="24"/>
          <w:szCs w:val="24"/>
          <w:lang w:eastAsia="pt-PT"/>
        </w:rPr>
        <w:t>.</w:t>
      </w:r>
    </w:p>
    <w:p w14:paraId="02D53B1B"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4949284A"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SHENHAV, Yehouda. Hitching a Ride on the Magic Carpet. </w:t>
      </w:r>
      <w:r w:rsidRPr="009E3A67">
        <w:rPr>
          <w:rFonts w:ascii="Times New Roman" w:eastAsia="Times New Roman" w:hAnsi="Times New Roman" w:cs="Times New Roman"/>
          <w:i/>
          <w:iCs/>
          <w:sz w:val="24"/>
          <w:szCs w:val="24"/>
          <w:lang w:eastAsia="pt-PT"/>
        </w:rPr>
        <w:t>Haaretz</w:t>
      </w:r>
      <w:r w:rsidRPr="009E3A67">
        <w:rPr>
          <w:rFonts w:ascii="Times New Roman" w:eastAsia="Times New Roman" w:hAnsi="Times New Roman" w:cs="Times New Roman"/>
          <w:sz w:val="24"/>
          <w:szCs w:val="24"/>
          <w:lang w:eastAsia="pt-PT"/>
        </w:rPr>
        <w:t xml:space="preserve">, 15 ago. 2003. Disponível em: </w:t>
      </w:r>
      <w:hyperlink r:id="rId100" w:history="1">
        <w:r w:rsidRPr="009E3A67">
          <w:rPr>
            <w:rStyle w:val="Hyperlink"/>
            <w:rFonts w:ascii="Times New Roman" w:eastAsia="Times New Roman" w:hAnsi="Times New Roman" w:cs="Times New Roman"/>
            <w:sz w:val="24"/>
            <w:szCs w:val="24"/>
            <w:lang w:eastAsia="pt-PT"/>
          </w:rPr>
          <w:t>https://www.haaretz.com/2003-08-15/ty-article/hitching-a-ride-on-the-magic-carpet/0000017f-dc85-df62-a9ff-dcd708790000</w:t>
        </w:r>
      </w:hyperlink>
      <w:r w:rsidRPr="009E3A67">
        <w:rPr>
          <w:rFonts w:ascii="Times New Roman" w:eastAsia="Times New Roman" w:hAnsi="Times New Roman" w:cs="Times New Roman"/>
          <w:sz w:val="24"/>
          <w:szCs w:val="24"/>
          <w:lang w:eastAsia="pt-PT"/>
        </w:rPr>
        <w:t>. Acesso em 31/03/2023.</w:t>
      </w:r>
    </w:p>
    <w:p w14:paraId="169B828B"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66EBC8F0"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SHLAIM, Avi. </w:t>
      </w:r>
      <w:r w:rsidRPr="009E3A67">
        <w:rPr>
          <w:rFonts w:ascii="Times New Roman" w:eastAsia="Times New Roman" w:hAnsi="Times New Roman" w:cs="Times New Roman"/>
          <w:i/>
          <w:iCs/>
          <w:sz w:val="24"/>
          <w:szCs w:val="24"/>
          <w:lang w:val="en-US" w:eastAsia="pt-PT"/>
        </w:rPr>
        <w:t>Three Worlds: Memoirs of an Arab-Jew</w:t>
      </w:r>
      <w:r w:rsidRPr="009E3A67">
        <w:rPr>
          <w:rFonts w:ascii="Times New Roman" w:eastAsia="Times New Roman" w:hAnsi="Times New Roman" w:cs="Times New Roman"/>
          <w:sz w:val="24"/>
          <w:szCs w:val="24"/>
          <w:lang w:val="en-US" w:eastAsia="pt-PT"/>
        </w:rPr>
        <w:t>. Londres: Oneworld Publications, 2023.</w:t>
      </w:r>
    </w:p>
    <w:p w14:paraId="7E889319"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58802635"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SHOHAT, Ella. </w:t>
      </w:r>
      <w:r w:rsidRPr="009E3A67">
        <w:rPr>
          <w:rFonts w:ascii="Times New Roman" w:eastAsia="Times New Roman" w:hAnsi="Times New Roman" w:cs="Times New Roman"/>
          <w:i/>
          <w:iCs/>
          <w:sz w:val="24"/>
          <w:szCs w:val="24"/>
          <w:lang w:val="en-US" w:eastAsia="pt-PT"/>
        </w:rPr>
        <w:t>The Invention of the Mizrahim</w:t>
      </w:r>
      <w:r w:rsidRPr="009E3A67">
        <w:rPr>
          <w:rFonts w:ascii="Times New Roman" w:eastAsia="Times New Roman" w:hAnsi="Times New Roman" w:cs="Times New Roman"/>
          <w:sz w:val="24"/>
          <w:szCs w:val="24"/>
          <w:lang w:val="en-US" w:eastAsia="pt-PT"/>
        </w:rPr>
        <w:t xml:space="preserve">. Journal of Palestine Studies. V. 29, n. 1, pp. 5-20, 1999. </w:t>
      </w:r>
      <w:hyperlink r:id="rId101" w:history="1">
        <w:r w:rsidRPr="009E3A67">
          <w:rPr>
            <w:rStyle w:val="Hyperlink"/>
            <w:rFonts w:ascii="Times New Roman" w:eastAsia="Times New Roman" w:hAnsi="Times New Roman" w:cs="Times New Roman"/>
            <w:sz w:val="24"/>
            <w:szCs w:val="24"/>
            <w:lang w:val="en-US" w:eastAsia="pt-PT"/>
          </w:rPr>
          <w:t>https://doi.org/10.2307/2676427</w:t>
        </w:r>
      </w:hyperlink>
      <w:r w:rsidRPr="009E3A67">
        <w:rPr>
          <w:rFonts w:ascii="Times New Roman" w:eastAsia="Times New Roman" w:hAnsi="Times New Roman" w:cs="Times New Roman"/>
          <w:sz w:val="24"/>
          <w:szCs w:val="24"/>
          <w:u w:val="single"/>
          <w:lang w:val="en-US" w:eastAsia="pt-PT"/>
        </w:rPr>
        <w:t>.</w:t>
      </w:r>
    </w:p>
    <w:p w14:paraId="4746B078"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u w:val="single"/>
          <w:lang w:val="en-US" w:eastAsia="pt-PT"/>
        </w:rPr>
      </w:pPr>
    </w:p>
    <w:p w14:paraId="7DECD70A"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______. </w:t>
      </w:r>
      <w:r w:rsidRPr="009E3A67">
        <w:rPr>
          <w:rFonts w:ascii="Times New Roman" w:eastAsia="Times New Roman" w:hAnsi="Times New Roman" w:cs="Times New Roman"/>
          <w:i/>
          <w:iCs/>
          <w:sz w:val="24"/>
          <w:szCs w:val="24"/>
          <w:lang w:val="en-US" w:eastAsia="pt-PT"/>
        </w:rPr>
        <w:t>The Narrative of the Nation and the Discourse of Modernization</w:t>
      </w:r>
      <w:r w:rsidRPr="009E3A67">
        <w:rPr>
          <w:rFonts w:ascii="Times New Roman" w:eastAsia="Times New Roman" w:hAnsi="Times New Roman" w:cs="Times New Roman"/>
          <w:sz w:val="24"/>
          <w:szCs w:val="24"/>
          <w:lang w:val="en-US" w:eastAsia="pt-PT"/>
        </w:rPr>
        <w:t xml:space="preserve">: the Case of the Mizrahim, Critique: Critical Middle Eastern Studies. V. 6, n. 10, pp. 3-18, 1997. </w:t>
      </w:r>
      <w:hyperlink r:id="rId102" w:history="1">
        <w:r w:rsidRPr="009E3A67">
          <w:rPr>
            <w:rStyle w:val="Hyperlink"/>
            <w:rFonts w:ascii="Times New Roman" w:eastAsia="Times New Roman" w:hAnsi="Times New Roman" w:cs="Times New Roman"/>
            <w:sz w:val="24"/>
            <w:szCs w:val="24"/>
            <w:lang w:val="en-US" w:eastAsia="pt-PT"/>
          </w:rPr>
          <w:t>https://doi.org/10.1080/10669929708720097</w:t>
        </w:r>
      </w:hyperlink>
      <w:r w:rsidRPr="009E3A67">
        <w:rPr>
          <w:rFonts w:ascii="Times New Roman" w:hAnsi="Times New Roman" w:cs="Times New Roman"/>
          <w:sz w:val="24"/>
          <w:szCs w:val="24"/>
        </w:rPr>
        <w:t>.</w:t>
      </w:r>
    </w:p>
    <w:p w14:paraId="0202869C"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35F2B868"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val="en-US" w:eastAsia="pt-PT"/>
        </w:rPr>
        <w:t xml:space="preserve">TODAY we celebrate 75 years of Israel’s independence and friendship with Europe. A special message from President of the European Commission Ursula von der Leyen. </w:t>
      </w:r>
      <w:r w:rsidRPr="009E3A67">
        <w:rPr>
          <w:rFonts w:ascii="Times New Roman" w:eastAsia="Times New Roman" w:hAnsi="Times New Roman" w:cs="Times New Roman"/>
          <w:i/>
          <w:iCs/>
          <w:sz w:val="24"/>
          <w:szCs w:val="24"/>
          <w:lang w:eastAsia="pt-PT"/>
        </w:rPr>
        <w:t>EU in Israel</w:t>
      </w:r>
      <w:r w:rsidRPr="009E3A67">
        <w:rPr>
          <w:rFonts w:ascii="Times New Roman" w:eastAsia="Times New Roman" w:hAnsi="Times New Roman" w:cs="Times New Roman"/>
          <w:sz w:val="24"/>
          <w:szCs w:val="24"/>
          <w:lang w:eastAsia="pt-PT"/>
        </w:rPr>
        <w:t>, 26 abr. 2023. 1 vídeo (1 min. e 27 seg.). Disponível em:</w:t>
      </w:r>
      <w:r w:rsidRPr="009E3A67">
        <w:rPr>
          <w:rFonts w:ascii="Times New Roman" w:eastAsia="Times New Roman" w:hAnsi="Times New Roman" w:cs="Times New Roman"/>
          <w:i/>
          <w:iCs/>
          <w:sz w:val="24"/>
          <w:szCs w:val="24"/>
          <w:lang w:eastAsia="pt-PT"/>
        </w:rPr>
        <w:t xml:space="preserve"> </w:t>
      </w:r>
      <w:hyperlink r:id="rId103" w:history="1">
        <w:r w:rsidRPr="009E3A67">
          <w:rPr>
            <w:rStyle w:val="Hyperlink"/>
            <w:rFonts w:ascii="Times New Roman" w:eastAsia="Times New Roman" w:hAnsi="Times New Roman" w:cs="Times New Roman"/>
            <w:sz w:val="24"/>
            <w:szCs w:val="24"/>
            <w:lang w:eastAsia="pt-PT"/>
          </w:rPr>
          <w:t>https://twitter.com/EUinIsrael/status/1651088583644594177?lang=en</w:t>
        </w:r>
      </w:hyperlink>
      <w:r w:rsidRPr="009E3A67">
        <w:rPr>
          <w:rFonts w:ascii="Times New Roman" w:eastAsia="Times New Roman" w:hAnsi="Times New Roman" w:cs="Times New Roman"/>
          <w:sz w:val="24"/>
          <w:szCs w:val="24"/>
          <w:lang w:eastAsia="pt-PT"/>
        </w:rPr>
        <w:t xml:space="preserve">. Acesso em 26/04/2023. </w:t>
      </w:r>
    </w:p>
    <w:p w14:paraId="3B994E4B"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035D5BEE"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eastAsia="Times New Roman" w:hAnsi="Times New Roman" w:cs="Times New Roman"/>
          <w:sz w:val="24"/>
          <w:szCs w:val="24"/>
          <w:lang w:eastAsia="pt-PT"/>
        </w:rPr>
        <w:t xml:space="preserve">TRAVERSO, Enzo. </w:t>
      </w:r>
      <w:r w:rsidRPr="009E3A67">
        <w:rPr>
          <w:rFonts w:ascii="Times New Roman" w:eastAsia="Times New Roman" w:hAnsi="Times New Roman" w:cs="Times New Roman"/>
          <w:i/>
          <w:iCs/>
          <w:sz w:val="24"/>
          <w:szCs w:val="24"/>
          <w:lang w:eastAsia="pt-PT"/>
        </w:rPr>
        <w:t>O Passado, Modos de Usar</w:t>
      </w:r>
      <w:r w:rsidRPr="009E3A67">
        <w:rPr>
          <w:rFonts w:ascii="Times New Roman" w:eastAsia="Times New Roman" w:hAnsi="Times New Roman" w:cs="Times New Roman"/>
          <w:sz w:val="24"/>
          <w:szCs w:val="24"/>
          <w:lang w:eastAsia="pt-PT"/>
        </w:rPr>
        <w:t>. Tradução: Tiago Avó. Lisboa: Tigre de Papel, 2020.</w:t>
      </w:r>
    </w:p>
    <w:p w14:paraId="2F9C7448"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2025B830"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eastAsia="pt-PT"/>
        </w:rPr>
      </w:pPr>
      <w:r w:rsidRPr="009E3A67">
        <w:rPr>
          <w:rFonts w:ascii="Times New Roman" w:hAnsi="Times New Roman" w:cs="Times New Roman"/>
          <w:sz w:val="24"/>
          <w:szCs w:val="24"/>
        </w:rPr>
        <w:t xml:space="preserve">TRIBUNAL INTERNACIONAL DE JUSTIÇA (TIJ). </w:t>
      </w:r>
      <w:r w:rsidRPr="009E3A67">
        <w:rPr>
          <w:rFonts w:ascii="Times New Roman" w:hAnsi="Times New Roman" w:cs="Times New Roman"/>
          <w:i/>
          <w:iCs/>
          <w:sz w:val="24"/>
          <w:szCs w:val="24"/>
        </w:rPr>
        <w:t xml:space="preserve">Aplicação da Convenção para a Prevenção e Punição do Crime de Genocídio na Faixa de Gaza (África do Sul vs. Israel). </w:t>
      </w:r>
      <w:r w:rsidRPr="009E3A67">
        <w:rPr>
          <w:rFonts w:ascii="Times New Roman" w:hAnsi="Times New Roman" w:cs="Times New Roman"/>
          <w:sz w:val="24"/>
          <w:szCs w:val="24"/>
        </w:rPr>
        <w:t>29 dez. 2023. Disponível em:</w:t>
      </w:r>
      <w:r w:rsidRPr="009E3A67">
        <w:rPr>
          <w:rFonts w:ascii="Times New Roman" w:hAnsi="Times New Roman" w:cs="Times New Roman"/>
          <w:i/>
          <w:iCs/>
          <w:sz w:val="24"/>
          <w:szCs w:val="24"/>
        </w:rPr>
        <w:t xml:space="preserve"> </w:t>
      </w:r>
      <w:hyperlink r:id="rId104" w:history="1">
        <w:r w:rsidRPr="009E3A67">
          <w:rPr>
            <w:rStyle w:val="Hyperlink"/>
            <w:rFonts w:ascii="Times New Roman" w:hAnsi="Times New Roman" w:cs="Times New Roman"/>
            <w:sz w:val="24"/>
            <w:szCs w:val="24"/>
          </w:rPr>
          <w:t>https://www.icj-cij.org/sites/default/files/case-related/192/192-20231228-app-01-00-en.pdf</w:t>
        </w:r>
      </w:hyperlink>
      <w:r w:rsidRPr="009E3A67">
        <w:rPr>
          <w:rFonts w:ascii="Times New Roman" w:hAnsi="Times New Roman" w:cs="Times New Roman"/>
          <w:sz w:val="24"/>
          <w:szCs w:val="24"/>
        </w:rPr>
        <w:t>. Acesso em 29/12/2023.</w:t>
      </w:r>
    </w:p>
    <w:p w14:paraId="6217CE98"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eastAsia="pt-PT"/>
        </w:rPr>
      </w:pPr>
    </w:p>
    <w:p w14:paraId="465D9029"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TROUILLOT, Michel-Roulph. </w:t>
      </w:r>
      <w:r w:rsidRPr="009E3A67">
        <w:rPr>
          <w:rFonts w:ascii="Times New Roman" w:eastAsia="Times New Roman" w:hAnsi="Times New Roman" w:cs="Times New Roman"/>
          <w:i/>
          <w:iCs/>
          <w:sz w:val="24"/>
          <w:szCs w:val="24"/>
          <w:lang w:val="en-US" w:eastAsia="pt-PT"/>
        </w:rPr>
        <w:t>Silencing the Past: Power and the Production of History</w:t>
      </w:r>
      <w:r w:rsidRPr="009E3A67">
        <w:rPr>
          <w:rFonts w:ascii="Times New Roman" w:eastAsia="Times New Roman" w:hAnsi="Times New Roman" w:cs="Times New Roman"/>
          <w:sz w:val="24"/>
          <w:szCs w:val="24"/>
          <w:lang w:val="en-US" w:eastAsia="pt-PT"/>
        </w:rPr>
        <w:t>. Boston: Beacon Press, 2015.</w:t>
      </w:r>
    </w:p>
    <w:p w14:paraId="0E7040CD"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0372AC07"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WOLFE, Patrick. </w:t>
      </w:r>
      <w:r w:rsidRPr="009E3A67">
        <w:rPr>
          <w:rFonts w:ascii="Times New Roman" w:eastAsia="Times New Roman" w:hAnsi="Times New Roman" w:cs="Times New Roman"/>
          <w:i/>
          <w:iCs/>
          <w:sz w:val="24"/>
          <w:szCs w:val="24"/>
          <w:lang w:val="en-US" w:eastAsia="pt-PT"/>
        </w:rPr>
        <w:t>Settler colonialism and the elimination of the native</w:t>
      </w:r>
      <w:r w:rsidRPr="009E3A67">
        <w:rPr>
          <w:rFonts w:ascii="Times New Roman" w:eastAsia="Times New Roman" w:hAnsi="Times New Roman" w:cs="Times New Roman"/>
          <w:sz w:val="24"/>
          <w:szCs w:val="24"/>
          <w:lang w:val="en-US" w:eastAsia="pt-PT"/>
        </w:rPr>
        <w:t xml:space="preserve">. Journal of Genocide Research. V. 8, n. 4, pp. 387-409, 2006. </w:t>
      </w:r>
      <w:hyperlink r:id="rId105" w:history="1">
        <w:r w:rsidRPr="009E3A67">
          <w:rPr>
            <w:rStyle w:val="Hyperlink"/>
            <w:rFonts w:ascii="Times New Roman" w:eastAsia="Times New Roman" w:hAnsi="Times New Roman" w:cs="Times New Roman"/>
            <w:sz w:val="24"/>
            <w:szCs w:val="24"/>
            <w:lang w:val="en-US" w:eastAsia="pt-PT"/>
          </w:rPr>
          <w:t>https://doi.org/10.1080/14623520601056240</w:t>
        </w:r>
      </w:hyperlink>
      <w:r w:rsidRPr="009E3A67">
        <w:rPr>
          <w:rFonts w:ascii="Times New Roman" w:hAnsi="Times New Roman" w:cs="Times New Roman"/>
          <w:sz w:val="24"/>
          <w:szCs w:val="24"/>
          <w:lang w:val="en-US"/>
        </w:rPr>
        <w:t>.</w:t>
      </w:r>
    </w:p>
    <w:p w14:paraId="613E3AD1" w14:textId="77777777" w:rsidR="00FF4AC8" w:rsidRPr="009E3A67" w:rsidRDefault="00FF4AC8"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2B635F8F" w14:textId="77777777" w:rsidR="00FF4AC8" w:rsidRPr="009E3A67" w:rsidRDefault="00FF4AC8" w:rsidP="00553CA3">
      <w:pPr>
        <w:pStyle w:val="PargrafodaLista"/>
        <w:numPr>
          <w:ilvl w:val="0"/>
          <w:numId w:val="1"/>
        </w:numPr>
        <w:spacing w:after="0" w:line="240" w:lineRule="auto"/>
        <w:ind w:left="0" w:firstLine="0"/>
        <w:jc w:val="both"/>
        <w:rPr>
          <w:rFonts w:ascii="Times New Roman" w:eastAsia="Times New Roman" w:hAnsi="Times New Roman" w:cs="Times New Roman"/>
          <w:sz w:val="24"/>
          <w:szCs w:val="24"/>
          <w:lang w:val="en-US" w:eastAsia="pt-PT"/>
        </w:rPr>
      </w:pPr>
      <w:r w:rsidRPr="009E3A67">
        <w:rPr>
          <w:rFonts w:ascii="Times New Roman" w:eastAsia="Times New Roman" w:hAnsi="Times New Roman" w:cs="Times New Roman"/>
          <w:sz w:val="24"/>
          <w:szCs w:val="24"/>
          <w:lang w:val="en-US" w:eastAsia="pt-PT"/>
        </w:rPr>
        <w:t xml:space="preserve">ZUREIQ, Constantine. </w:t>
      </w:r>
      <w:r w:rsidRPr="009E3A67">
        <w:rPr>
          <w:rFonts w:ascii="Times New Roman" w:eastAsia="Times New Roman" w:hAnsi="Times New Roman" w:cs="Times New Roman"/>
          <w:i/>
          <w:iCs/>
          <w:sz w:val="24"/>
          <w:szCs w:val="24"/>
          <w:lang w:val="en-US" w:eastAsia="pt-PT"/>
        </w:rPr>
        <w:t>The Meaning of the Disaster</w:t>
      </w:r>
      <w:r w:rsidRPr="009E3A67">
        <w:rPr>
          <w:rFonts w:ascii="Times New Roman" w:eastAsia="Times New Roman" w:hAnsi="Times New Roman" w:cs="Times New Roman"/>
          <w:sz w:val="24"/>
          <w:szCs w:val="24"/>
          <w:lang w:val="en-US" w:eastAsia="pt-PT"/>
        </w:rPr>
        <w:t>. Tradução: R. Bayley Winder. Beirute: Khayat, 1956 [1948].</w:t>
      </w:r>
    </w:p>
    <w:p w14:paraId="5860F3F5" w14:textId="77777777" w:rsidR="00782C42" w:rsidRPr="009E3A67" w:rsidRDefault="00782C42" w:rsidP="00553CA3">
      <w:pPr>
        <w:pStyle w:val="PargrafodaLista"/>
        <w:spacing w:after="0" w:line="240" w:lineRule="auto"/>
        <w:ind w:left="0"/>
        <w:jc w:val="both"/>
        <w:rPr>
          <w:rFonts w:ascii="Times New Roman" w:eastAsia="Times New Roman" w:hAnsi="Times New Roman" w:cs="Times New Roman"/>
          <w:sz w:val="24"/>
          <w:szCs w:val="24"/>
          <w:lang w:val="en-US" w:eastAsia="pt-PT"/>
        </w:rPr>
      </w:pPr>
    </w:p>
    <w:p w14:paraId="2A09E347" w14:textId="77777777" w:rsidR="00782C42" w:rsidRPr="009E3A67" w:rsidRDefault="00782C42" w:rsidP="00E73EF4">
      <w:pPr>
        <w:spacing w:after="0" w:line="240" w:lineRule="auto"/>
        <w:jc w:val="both"/>
        <w:rPr>
          <w:rFonts w:ascii="Times New Roman" w:eastAsia="Times New Roman" w:hAnsi="Times New Roman" w:cs="Times New Roman"/>
          <w:sz w:val="24"/>
          <w:szCs w:val="24"/>
          <w:lang w:val="en-US" w:eastAsia="pt-PT"/>
        </w:rPr>
      </w:pPr>
    </w:p>
    <w:p w14:paraId="5CC1F85B"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72F8E8F5"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7AD12AEE"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651B29C7"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56B82B41"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714F23B7"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75B5F1E9"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2460C571"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5BE2FF98"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4165F6F4"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79672047"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48CA2870"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17694348" w14:textId="77777777" w:rsidR="00782C42" w:rsidRPr="009E3A67" w:rsidRDefault="00782C42" w:rsidP="00782C42">
      <w:pPr>
        <w:spacing w:after="0" w:line="240" w:lineRule="auto"/>
        <w:rPr>
          <w:rFonts w:ascii="Times New Roman" w:eastAsia="Times New Roman" w:hAnsi="Times New Roman" w:cs="Times New Roman"/>
          <w:sz w:val="24"/>
          <w:szCs w:val="24"/>
          <w:lang w:val="en-US" w:eastAsia="pt-PT"/>
        </w:rPr>
      </w:pPr>
    </w:p>
    <w:p w14:paraId="64A28137" w14:textId="77777777" w:rsidR="003D252C" w:rsidRPr="009E3A67" w:rsidRDefault="003D252C" w:rsidP="003D252C">
      <w:pPr>
        <w:tabs>
          <w:tab w:val="left" w:pos="3150"/>
        </w:tabs>
        <w:spacing w:after="0" w:line="240" w:lineRule="auto"/>
        <w:jc w:val="center"/>
        <w:rPr>
          <w:rFonts w:ascii="Times New Roman" w:eastAsia="Arial" w:hAnsi="Times New Roman" w:cs="Times New Roman"/>
          <w:b/>
          <w:sz w:val="28"/>
          <w:szCs w:val="28"/>
        </w:rPr>
      </w:pPr>
      <w:r w:rsidRPr="009E3A67">
        <w:rPr>
          <w:rFonts w:ascii="Times New Roman" w:eastAsia="Arial" w:hAnsi="Times New Roman" w:cs="Times New Roman"/>
          <w:b/>
          <w:sz w:val="28"/>
          <w:szCs w:val="28"/>
        </w:rPr>
        <w:t>EPISTEMOLOGIA PERIFÉRICA DE LIBERTAÇÃO: RACIONAIS MC’S E A CULTURA DE LUTA ANTIRRACISTA NAS PERIFERIAS BRASILEIRAS</w:t>
      </w:r>
    </w:p>
    <w:p w14:paraId="4944133D" w14:textId="77777777" w:rsidR="003D252C" w:rsidRPr="009E3A67" w:rsidRDefault="003D252C" w:rsidP="003D252C">
      <w:pPr>
        <w:tabs>
          <w:tab w:val="left" w:pos="3150"/>
        </w:tabs>
        <w:spacing w:after="0" w:line="240" w:lineRule="auto"/>
        <w:jc w:val="center"/>
        <w:rPr>
          <w:rFonts w:ascii="Times New Roman" w:hAnsi="Times New Roman" w:cs="Times New Roman"/>
          <w:b/>
          <w:sz w:val="28"/>
          <w:szCs w:val="28"/>
        </w:rPr>
      </w:pPr>
    </w:p>
    <w:p w14:paraId="53A2F974"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2E48BF5E" w14:textId="77777777" w:rsidR="003D252C" w:rsidRPr="009E3A67" w:rsidRDefault="003D252C" w:rsidP="003D252C">
      <w:pPr>
        <w:tabs>
          <w:tab w:val="left" w:pos="3150"/>
        </w:tabs>
        <w:spacing w:after="0" w:line="240" w:lineRule="auto"/>
        <w:jc w:val="center"/>
        <w:rPr>
          <w:rFonts w:ascii="Times New Roman" w:hAnsi="Times New Roman" w:cs="Times New Roman"/>
          <w:b/>
          <w:sz w:val="28"/>
          <w:szCs w:val="28"/>
        </w:rPr>
      </w:pPr>
      <w:r w:rsidRPr="009E3A67">
        <w:rPr>
          <w:rFonts w:ascii="Times New Roman" w:hAnsi="Times New Roman" w:cs="Times New Roman"/>
          <w:b/>
          <w:color w:val="111111"/>
          <w:sz w:val="28"/>
          <w:szCs w:val="28"/>
          <w:shd w:val="clear" w:color="auto" w:fill="FFFFFF"/>
        </w:rPr>
        <w:t>EPISTEMOLOGÍA PERIFÉRICA DE LIBERACIÓN: RACIONAIS MC’S Y LA CULTURA DE LUCHA ANTIRRACISTA EN LAS PERIFERIAS BRASILEÑAS</w:t>
      </w:r>
    </w:p>
    <w:p w14:paraId="37E24607"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7EA53BF4"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23F9EF70"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46634F76" w14:textId="77777777" w:rsidR="003D252C" w:rsidRPr="009E3A67" w:rsidRDefault="003D252C" w:rsidP="003D252C">
      <w:pPr>
        <w:tabs>
          <w:tab w:val="left" w:pos="3150"/>
        </w:tabs>
        <w:spacing w:line="240" w:lineRule="auto"/>
        <w:jc w:val="right"/>
        <w:rPr>
          <w:rFonts w:ascii="Times New Roman" w:hAnsi="Times New Roman" w:cs="Times New Roman"/>
          <w:sz w:val="24"/>
          <w:szCs w:val="24"/>
        </w:rPr>
      </w:pPr>
      <w:r w:rsidRPr="009E3A67">
        <w:rPr>
          <w:rFonts w:ascii="Times New Roman" w:hAnsi="Times New Roman" w:cs="Times New Roman"/>
          <w:sz w:val="24"/>
          <w:szCs w:val="24"/>
        </w:rPr>
        <w:t>Melina Rocha</w:t>
      </w:r>
    </w:p>
    <w:p w14:paraId="6AEC4F69" w14:textId="77777777" w:rsidR="003D252C" w:rsidRPr="009E3A67" w:rsidRDefault="003D252C" w:rsidP="003C5B38">
      <w:pPr>
        <w:tabs>
          <w:tab w:val="left" w:pos="3150"/>
        </w:tabs>
        <w:spacing w:after="0" w:line="360" w:lineRule="auto"/>
        <w:ind w:left="2268"/>
        <w:jc w:val="both"/>
        <w:rPr>
          <w:rFonts w:ascii="Times New Roman" w:hAnsi="Times New Roman" w:cs="Times New Roman"/>
          <w:sz w:val="24"/>
          <w:szCs w:val="24"/>
        </w:rPr>
      </w:pPr>
      <w:r w:rsidRPr="009E3A67">
        <w:rPr>
          <w:rFonts w:ascii="Times New Roman" w:hAnsi="Times New Roman" w:cs="Times New Roman"/>
          <w:color w:val="222222"/>
          <w:sz w:val="24"/>
          <w:szCs w:val="24"/>
          <w:shd w:val="clear" w:color="auto" w:fill="FFFFFF"/>
        </w:rPr>
        <w:t>Doutoranda do Programa de Pós-Graduação em Educação, Conhecimento e Inclusão da Universidade Federal de Minas Gerais (UFMG). Professora, pesquisadora e comunicadora popular. Associada à Associação Brasileira de Pesquisadores Negros (ABPN). </w:t>
      </w:r>
    </w:p>
    <w:p w14:paraId="06AF5E6B"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10C5D84F"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11081356"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7DDA8C67"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4449342B"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47632D10"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42C497AD"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0AFBB206"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74E9526A"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360B9C3A"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76753050"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08CB65B3"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7E094895"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4532840D"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3E00AD61"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3B084718"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479C29ED"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4D014A81"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459415CC"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5D151244"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0C6AAEC5"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73BF7CE7"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142792BF"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4D35615C"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13E4D433" w14:textId="77777777" w:rsidR="003D252C" w:rsidRPr="009E3A67" w:rsidRDefault="003D252C" w:rsidP="003D252C">
      <w:pPr>
        <w:tabs>
          <w:tab w:val="left" w:pos="3150"/>
        </w:tabs>
        <w:spacing w:after="0" w:line="240" w:lineRule="auto"/>
        <w:rPr>
          <w:rFonts w:ascii="Times New Roman" w:hAnsi="Times New Roman" w:cs="Times New Roman"/>
          <w:b/>
          <w:sz w:val="24"/>
          <w:szCs w:val="24"/>
        </w:rPr>
      </w:pPr>
    </w:p>
    <w:p w14:paraId="56AB7184" w14:textId="5FF0BB89" w:rsidR="003D252C" w:rsidRPr="00D548EB" w:rsidRDefault="003D252C" w:rsidP="00D548EB">
      <w:pPr>
        <w:spacing w:before="240" w:after="240" w:line="240" w:lineRule="auto"/>
        <w:jc w:val="center"/>
        <w:rPr>
          <w:rFonts w:ascii="Times New Roman" w:eastAsia="Arial" w:hAnsi="Times New Roman" w:cs="Times New Roman"/>
          <w:b/>
          <w:sz w:val="24"/>
          <w:szCs w:val="24"/>
        </w:rPr>
      </w:pPr>
      <w:r w:rsidRPr="00D548EB">
        <w:rPr>
          <w:rFonts w:ascii="Times New Roman" w:eastAsia="Arial" w:hAnsi="Times New Roman" w:cs="Times New Roman"/>
          <w:b/>
          <w:sz w:val="24"/>
          <w:szCs w:val="24"/>
        </w:rPr>
        <w:t>RESUMO</w:t>
      </w:r>
    </w:p>
    <w:p w14:paraId="0A2EB397" w14:textId="77777777" w:rsidR="003D252C" w:rsidRPr="00D548EB" w:rsidRDefault="003D252C" w:rsidP="00D548EB">
      <w:pPr>
        <w:spacing w:after="0" w:line="240" w:lineRule="auto"/>
        <w:jc w:val="both"/>
        <w:rPr>
          <w:rFonts w:ascii="Times New Roman" w:eastAsia="Arial" w:hAnsi="Times New Roman" w:cs="Times New Roman"/>
          <w:sz w:val="24"/>
          <w:szCs w:val="24"/>
        </w:rPr>
      </w:pPr>
      <w:r w:rsidRPr="00D548EB">
        <w:rPr>
          <w:rFonts w:ascii="Times New Roman" w:eastAsia="Arial" w:hAnsi="Times New Roman" w:cs="Times New Roman"/>
          <w:sz w:val="24"/>
          <w:szCs w:val="24"/>
        </w:rPr>
        <w:t>O artigo analisa como os Racionais MC’s, por meio de sua produção político-artística, constroem uma epistemologia periférica libertadora e promovem uma cultura de luta antirracista no Brasil contemporâneo. A partir do pensamento de Amílcar Cabral sobre cultura e libertação e dos estudos de Thayara de Lima e D’Andrea, discute-se a atuação do grupo como intelectuais orgânicos das periferias urbanas. Argumenta-se que suas músicas configuram práticas educativas insurgentes, que denunciam o racismo estrutural, produzem consciência crítica e fortalecem a identidade negra. A metodologia qualitativa baseia-se em análise bibliográfica e interpretativa de letras de músicas, discursos e entrevistas. Ao reconhecer a centralidade da cultura na formação política, o estudo evidencia que a obra dos Racionais MC’s contribui para a valorização dos saberes periféricos como formas legítimas de conhecimento e para a construção de uma pedagogia antirracista enraizada nas experiências das populações marginalizadas.</w:t>
      </w:r>
    </w:p>
    <w:p w14:paraId="3CAC6B24" w14:textId="77777777" w:rsidR="003D252C" w:rsidRPr="00D548EB" w:rsidRDefault="003D252C" w:rsidP="00D548EB">
      <w:pPr>
        <w:spacing w:after="0" w:line="240" w:lineRule="auto"/>
        <w:jc w:val="both"/>
        <w:rPr>
          <w:rFonts w:ascii="Times New Roman" w:eastAsia="Arial" w:hAnsi="Times New Roman" w:cs="Times New Roman"/>
          <w:sz w:val="24"/>
          <w:szCs w:val="24"/>
        </w:rPr>
      </w:pPr>
    </w:p>
    <w:p w14:paraId="3D972243" w14:textId="77777777" w:rsidR="003D252C" w:rsidRPr="00D548EB" w:rsidRDefault="003D252C" w:rsidP="00D548EB">
      <w:pPr>
        <w:spacing w:after="0" w:line="240" w:lineRule="auto"/>
        <w:jc w:val="both"/>
        <w:rPr>
          <w:rFonts w:ascii="Times New Roman" w:eastAsia="Arial" w:hAnsi="Times New Roman" w:cs="Times New Roman"/>
          <w:b/>
          <w:sz w:val="24"/>
          <w:szCs w:val="24"/>
        </w:rPr>
      </w:pPr>
      <w:r w:rsidRPr="00D548EB">
        <w:rPr>
          <w:rFonts w:ascii="Times New Roman" w:eastAsia="Arial" w:hAnsi="Times New Roman" w:cs="Times New Roman"/>
          <w:b/>
          <w:sz w:val="24"/>
          <w:szCs w:val="24"/>
        </w:rPr>
        <w:t>PALAVRAS-CHAVE</w:t>
      </w:r>
    </w:p>
    <w:p w14:paraId="6A0A4A8A" w14:textId="77777777" w:rsidR="003D252C" w:rsidRPr="00D548EB" w:rsidRDefault="003D252C" w:rsidP="00D548EB">
      <w:pPr>
        <w:spacing w:before="240" w:after="0" w:line="240" w:lineRule="auto"/>
        <w:jc w:val="both"/>
        <w:rPr>
          <w:rFonts w:ascii="Times New Roman" w:eastAsia="Arial" w:hAnsi="Times New Roman" w:cs="Times New Roman"/>
          <w:sz w:val="24"/>
          <w:szCs w:val="24"/>
        </w:rPr>
      </w:pPr>
      <w:r w:rsidRPr="00D548EB">
        <w:rPr>
          <w:rFonts w:ascii="Times New Roman" w:eastAsia="Arial" w:hAnsi="Times New Roman" w:cs="Times New Roman"/>
          <w:sz w:val="24"/>
          <w:szCs w:val="24"/>
        </w:rPr>
        <w:t>Epistemologia periférica; Racionais MC’s; cultura de luta antirracista; educação popular; pedagogia da resistência.</w:t>
      </w:r>
    </w:p>
    <w:p w14:paraId="27DA870C" w14:textId="77777777" w:rsidR="003D252C" w:rsidRPr="00D548EB" w:rsidRDefault="003D252C" w:rsidP="00D548EB">
      <w:pPr>
        <w:spacing w:before="240" w:after="240" w:line="240" w:lineRule="auto"/>
        <w:jc w:val="both"/>
        <w:rPr>
          <w:rFonts w:ascii="Times New Roman" w:eastAsia="Arial" w:hAnsi="Times New Roman" w:cs="Times New Roman"/>
          <w:b/>
          <w:sz w:val="24"/>
          <w:szCs w:val="24"/>
        </w:rPr>
      </w:pPr>
    </w:p>
    <w:p w14:paraId="057B94F4" w14:textId="77777777" w:rsidR="003D252C" w:rsidRPr="00D548EB" w:rsidRDefault="003D252C" w:rsidP="00D548EB">
      <w:pPr>
        <w:spacing w:before="240" w:after="240" w:line="240" w:lineRule="auto"/>
        <w:jc w:val="center"/>
        <w:rPr>
          <w:rFonts w:ascii="Times New Roman" w:eastAsia="Arial" w:hAnsi="Times New Roman" w:cs="Times New Roman"/>
          <w:b/>
          <w:sz w:val="24"/>
          <w:szCs w:val="24"/>
        </w:rPr>
      </w:pPr>
      <w:r w:rsidRPr="00D548EB">
        <w:rPr>
          <w:rFonts w:ascii="Times New Roman" w:eastAsia="Arial" w:hAnsi="Times New Roman" w:cs="Times New Roman"/>
          <w:b/>
          <w:sz w:val="24"/>
          <w:szCs w:val="24"/>
        </w:rPr>
        <w:t>RESUMEN</w:t>
      </w:r>
    </w:p>
    <w:p w14:paraId="710E13F4" w14:textId="77777777" w:rsidR="003D252C" w:rsidRPr="00D548EB" w:rsidRDefault="003D252C" w:rsidP="00D548EB">
      <w:pPr>
        <w:spacing w:after="0" w:line="240" w:lineRule="auto"/>
        <w:jc w:val="both"/>
        <w:rPr>
          <w:rFonts w:ascii="Times New Roman" w:eastAsia="Arial" w:hAnsi="Times New Roman" w:cs="Times New Roman"/>
          <w:sz w:val="24"/>
          <w:szCs w:val="24"/>
        </w:rPr>
      </w:pPr>
      <w:r w:rsidRPr="00D548EB">
        <w:rPr>
          <w:rFonts w:ascii="Times New Roman" w:eastAsia="Arial" w:hAnsi="Times New Roman" w:cs="Times New Roman"/>
          <w:sz w:val="24"/>
          <w:szCs w:val="24"/>
        </w:rPr>
        <w:t>El artículo analiza cómo el grupo Racionais MC’s, a través de su producción político-artística, construye una epistemología periférica liberadora y promueve una cultura de lucha antirracista en el Brasil contemporáneo. A partir del pensamiento de Amílcar Cabral sobre cultura y liberación, y de los estudios de Thayara de Lima y D’Andrea, se discute la actuación del grupo como intelectuales orgánicos de las periferias urbanas. Se argumenta que sus canciones constituyen prácticas educativas insurgentes que denuncian el racismo estructural, generan conciencia crítica y fortalecen la identidad negra. La metodología cualitativa se basa en el análisis bibliográfico e interpretativo de letras de canciones, discursos y entrevistas. Al reconocer la centralidad de la cultura en la formación política, el estudio demuestra que la obra de Racionais MC’s contribuye a la valorización de los saberes periféricos como formas legítimas de conocimiento y a la construcción de una pedagogía antirracista enraizada en las experiencias de las poblaciones marginalizadas.</w:t>
      </w:r>
    </w:p>
    <w:p w14:paraId="44206423" w14:textId="77777777" w:rsidR="003D252C" w:rsidRPr="00D548EB" w:rsidRDefault="003D252C" w:rsidP="00D548EB">
      <w:pPr>
        <w:spacing w:after="0" w:line="240" w:lineRule="auto"/>
        <w:jc w:val="both"/>
        <w:rPr>
          <w:rFonts w:ascii="Times New Roman" w:eastAsia="Arial" w:hAnsi="Times New Roman" w:cs="Times New Roman"/>
          <w:sz w:val="24"/>
          <w:szCs w:val="24"/>
        </w:rPr>
      </w:pPr>
    </w:p>
    <w:p w14:paraId="29AE6D28" w14:textId="2C3D7633" w:rsidR="003D252C" w:rsidRPr="00D548EB" w:rsidRDefault="003D252C" w:rsidP="00D548EB">
      <w:pPr>
        <w:spacing w:after="0" w:line="240" w:lineRule="auto"/>
        <w:jc w:val="both"/>
        <w:rPr>
          <w:rFonts w:ascii="Times New Roman" w:eastAsia="Arial" w:hAnsi="Times New Roman" w:cs="Times New Roman"/>
          <w:b/>
          <w:sz w:val="24"/>
          <w:szCs w:val="24"/>
        </w:rPr>
      </w:pPr>
      <w:r w:rsidRPr="00D548EB">
        <w:rPr>
          <w:rFonts w:ascii="Times New Roman" w:eastAsia="Arial" w:hAnsi="Times New Roman" w:cs="Times New Roman"/>
          <w:b/>
          <w:sz w:val="24"/>
          <w:szCs w:val="24"/>
        </w:rPr>
        <w:t>PALABRAS CLAVE</w:t>
      </w:r>
    </w:p>
    <w:p w14:paraId="212AA4A3" w14:textId="77777777" w:rsidR="00D548EB" w:rsidRPr="00D548EB" w:rsidRDefault="00D548EB" w:rsidP="00D548EB">
      <w:pPr>
        <w:spacing w:after="0" w:line="240" w:lineRule="auto"/>
        <w:jc w:val="both"/>
        <w:rPr>
          <w:rFonts w:ascii="Times New Roman" w:eastAsia="Arial" w:hAnsi="Times New Roman" w:cs="Times New Roman"/>
          <w:b/>
          <w:sz w:val="24"/>
          <w:szCs w:val="24"/>
        </w:rPr>
      </w:pPr>
    </w:p>
    <w:p w14:paraId="239E543A" w14:textId="77777777" w:rsidR="003D252C" w:rsidRPr="00D548EB" w:rsidRDefault="003D252C" w:rsidP="00D548EB">
      <w:pPr>
        <w:spacing w:after="0" w:line="240" w:lineRule="auto"/>
        <w:jc w:val="both"/>
        <w:rPr>
          <w:rFonts w:ascii="Times New Roman" w:eastAsia="Arial" w:hAnsi="Times New Roman" w:cs="Times New Roman"/>
          <w:sz w:val="24"/>
          <w:szCs w:val="24"/>
        </w:rPr>
      </w:pPr>
      <w:r w:rsidRPr="00D548EB">
        <w:rPr>
          <w:rFonts w:ascii="Times New Roman" w:eastAsia="Arial" w:hAnsi="Times New Roman" w:cs="Times New Roman"/>
          <w:sz w:val="24"/>
          <w:szCs w:val="24"/>
        </w:rPr>
        <w:t>Epistemología periférica; Racionais MC’s; cultura de lucha antirracista; educación popular; pedagogía de la resistencia.</w:t>
      </w:r>
    </w:p>
    <w:p w14:paraId="0175E324" w14:textId="77777777" w:rsidR="00133569" w:rsidRDefault="00133569" w:rsidP="00133569">
      <w:pPr>
        <w:spacing w:after="0" w:line="240" w:lineRule="auto"/>
        <w:jc w:val="both"/>
        <w:rPr>
          <w:rFonts w:ascii="Times New Roman" w:eastAsia="Arial" w:hAnsi="Times New Roman" w:cs="Times New Roman"/>
          <w:sz w:val="24"/>
          <w:szCs w:val="24"/>
        </w:rPr>
      </w:pPr>
    </w:p>
    <w:p w14:paraId="6B3C0330" w14:textId="77777777" w:rsidR="00D548EB" w:rsidRDefault="00D548EB" w:rsidP="00133569">
      <w:pPr>
        <w:spacing w:after="0" w:line="240" w:lineRule="auto"/>
        <w:jc w:val="both"/>
        <w:rPr>
          <w:rFonts w:ascii="Times New Roman" w:eastAsia="Arial" w:hAnsi="Times New Roman" w:cs="Times New Roman"/>
          <w:sz w:val="24"/>
          <w:szCs w:val="24"/>
        </w:rPr>
      </w:pPr>
    </w:p>
    <w:p w14:paraId="2CBD9CD8" w14:textId="77777777" w:rsidR="00D548EB" w:rsidRDefault="00D548EB" w:rsidP="00133569">
      <w:pPr>
        <w:spacing w:after="0" w:line="240" w:lineRule="auto"/>
        <w:jc w:val="both"/>
        <w:rPr>
          <w:rFonts w:ascii="Times New Roman" w:eastAsia="Arial" w:hAnsi="Times New Roman" w:cs="Times New Roman"/>
          <w:sz w:val="24"/>
          <w:szCs w:val="24"/>
        </w:rPr>
      </w:pPr>
    </w:p>
    <w:p w14:paraId="323D783C" w14:textId="77777777" w:rsidR="00D548EB" w:rsidRDefault="00D548EB" w:rsidP="00133569">
      <w:pPr>
        <w:spacing w:after="0" w:line="240" w:lineRule="auto"/>
        <w:jc w:val="both"/>
        <w:rPr>
          <w:rFonts w:ascii="Times New Roman" w:eastAsia="Arial" w:hAnsi="Times New Roman" w:cs="Times New Roman"/>
          <w:sz w:val="24"/>
          <w:szCs w:val="24"/>
        </w:rPr>
      </w:pPr>
    </w:p>
    <w:p w14:paraId="09447B23" w14:textId="77777777" w:rsidR="00D548EB" w:rsidRDefault="00D548EB" w:rsidP="00133569">
      <w:pPr>
        <w:spacing w:after="0" w:line="240" w:lineRule="auto"/>
        <w:jc w:val="both"/>
        <w:rPr>
          <w:rFonts w:ascii="Times New Roman" w:eastAsia="Arial" w:hAnsi="Times New Roman" w:cs="Times New Roman"/>
          <w:sz w:val="24"/>
          <w:szCs w:val="24"/>
        </w:rPr>
      </w:pPr>
    </w:p>
    <w:p w14:paraId="035B7396" w14:textId="77777777" w:rsidR="00FF4AC8" w:rsidRDefault="00FF4AC8" w:rsidP="003F5FC1">
      <w:pPr>
        <w:tabs>
          <w:tab w:val="left" w:pos="3150"/>
        </w:tabs>
        <w:spacing w:after="0" w:line="240" w:lineRule="auto"/>
        <w:jc w:val="center"/>
        <w:rPr>
          <w:rFonts w:ascii="Times New Roman" w:eastAsia="Arial" w:hAnsi="Times New Roman" w:cs="Times New Roman"/>
          <w:b/>
          <w:sz w:val="24"/>
          <w:szCs w:val="24"/>
        </w:rPr>
      </w:pPr>
      <w:r w:rsidRPr="009E3A67">
        <w:rPr>
          <w:rFonts w:ascii="Times New Roman" w:eastAsia="Arial" w:hAnsi="Times New Roman" w:cs="Times New Roman"/>
          <w:b/>
          <w:sz w:val="24"/>
          <w:szCs w:val="24"/>
        </w:rPr>
        <w:t>EPISTEMOLOGIA PERIFÉRICA DE LIBERTAÇÃO: RACIONAIS MC’S E A CULTURA DE LUTA ANTIRRACISTA NAS PERIFERIAS BRASILEIRAS</w:t>
      </w:r>
    </w:p>
    <w:p w14:paraId="37AD4EE7" w14:textId="77777777" w:rsidR="00527492" w:rsidRPr="009E3A67" w:rsidRDefault="00527492" w:rsidP="00FF4AC8">
      <w:pPr>
        <w:tabs>
          <w:tab w:val="left" w:pos="3150"/>
        </w:tabs>
        <w:spacing w:after="0" w:line="240" w:lineRule="auto"/>
        <w:jc w:val="center"/>
        <w:rPr>
          <w:rFonts w:ascii="Times New Roman" w:eastAsia="Arial" w:hAnsi="Times New Roman" w:cs="Times New Roman"/>
          <w:b/>
          <w:sz w:val="24"/>
          <w:szCs w:val="24"/>
        </w:rPr>
      </w:pPr>
    </w:p>
    <w:p w14:paraId="0C11ED7F" w14:textId="5D43BEF1" w:rsidR="003D252C" w:rsidRPr="009E3A67" w:rsidRDefault="003D252C" w:rsidP="00527492">
      <w:pPr>
        <w:spacing w:after="0" w:line="360" w:lineRule="auto"/>
        <w:jc w:val="both"/>
        <w:rPr>
          <w:rFonts w:ascii="Times New Roman" w:eastAsia="Arial" w:hAnsi="Times New Roman" w:cs="Times New Roman"/>
          <w:b/>
          <w:sz w:val="24"/>
          <w:szCs w:val="24"/>
        </w:rPr>
      </w:pPr>
      <w:r w:rsidRPr="009E3A67">
        <w:rPr>
          <w:rFonts w:ascii="Times New Roman" w:eastAsia="Arial" w:hAnsi="Times New Roman" w:cs="Times New Roman"/>
          <w:b/>
          <w:sz w:val="24"/>
          <w:szCs w:val="24"/>
        </w:rPr>
        <w:t>1. INTRODUÇÃO</w:t>
      </w:r>
    </w:p>
    <w:p w14:paraId="26D0CBFF" w14:textId="77777777" w:rsidR="003D252C" w:rsidRPr="009E3A67" w:rsidRDefault="003D252C" w:rsidP="00527492">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Este artigo é resultado de reflexões desenvolvidas durante a pesquisa de doutorado intitulada </w:t>
      </w:r>
      <w:r w:rsidRPr="009E3A67">
        <w:rPr>
          <w:rFonts w:ascii="Times New Roman" w:eastAsia="Arial" w:hAnsi="Times New Roman" w:cs="Times New Roman"/>
          <w:i/>
          <w:sz w:val="24"/>
          <w:szCs w:val="24"/>
        </w:rPr>
        <w:t>Epistemologia que emerge nas periferias: os saberes dos Racionais MC’s e a construção de uma cultura de luta periférica</w:t>
      </w:r>
      <w:r w:rsidRPr="009E3A67">
        <w:rPr>
          <w:rFonts w:ascii="Times New Roman" w:eastAsia="Arial" w:hAnsi="Times New Roman" w:cs="Times New Roman"/>
          <w:sz w:val="24"/>
          <w:szCs w:val="24"/>
        </w:rPr>
        <w:t xml:space="preserve">, vinculada ao Programa de Pós-graduação em Educação: Conhecimento e Inclusão da Faculdade de Educação da UFMG. A pesquisa busca compreender como a obra político-artística do grupo de rap Racionais MC’s elabora e difunde uma </w:t>
      </w:r>
      <w:r w:rsidRPr="009E3A67">
        <w:rPr>
          <w:rFonts w:ascii="Times New Roman" w:eastAsia="Arial" w:hAnsi="Times New Roman" w:cs="Times New Roman"/>
          <w:i/>
          <w:sz w:val="24"/>
          <w:szCs w:val="24"/>
        </w:rPr>
        <w:t>epistemologia periférica de libertação</w:t>
      </w:r>
      <w:r w:rsidRPr="009E3A67">
        <w:rPr>
          <w:rFonts w:ascii="Times New Roman" w:eastAsia="Arial" w:hAnsi="Times New Roman" w:cs="Times New Roman"/>
          <w:sz w:val="24"/>
          <w:szCs w:val="24"/>
        </w:rPr>
        <w:t>, fundamentada na valorização da cultura negra, na denúncia das desigualdades sociais e na promoção de uma cultura de luta antirracista.</w:t>
      </w:r>
    </w:p>
    <w:p w14:paraId="332ECB95"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Neste trabalho, articulamos o pensamento de Cabral (1974a,1974b,1980), intelectual panafricanista revolucionário, com os estudos recentes de Lima (2022, 2024), que abordam o conceito de </w:t>
      </w:r>
      <w:r w:rsidRPr="009E3A67">
        <w:rPr>
          <w:rFonts w:ascii="Times New Roman" w:eastAsia="Arial" w:hAnsi="Times New Roman" w:cs="Times New Roman"/>
          <w:i/>
          <w:sz w:val="24"/>
          <w:szCs w:val="24"/>
        </w:rPr>
        <w:t>cultura de luta antirracista</w:t>
      </w:r>
      <w:r w:rsidRPr="009E3A67">
        <w:rPr>
          <w:rFonts w:ascii="Times New Roman" w:eastAsia="Arial" w:hAnsi="Times New Roman" w:cs="Times New Roman"/>
          <w:sz w:val="24"/>
          <w:szCs w:val="24"/>
        </w:rPr>
        <w:t xml:space="preserve"> a partir da atuação do </w:t>
      </w:r>
      <w:r w:rsidRPr="009E3A67">
        <w:rPr>
          <w:rFonts w:ascii="Times New Roman" w:eastAsia="Arial" w:hAnsi="Times New Roman" w:cs="Times New Roman"/>
          <w:i/>
          <w:sz w:val="24"/>
          <w:szCs w:val="24"/>
        </w:rPr>
        <w:t>movimento negro no século 21</w:t>
      </w:r>
      <w:r w:rsidRPr="009E3A67">
        <w:rPr>
          <w:rFonts w:ascii="Times New Roman" w:eastAsia="Arial" w:hAnsi="Times New Roman" w:cs="Times New Roman"/>
          <w:sz w:val="24"/>
          <w:szCs w:val="24"/>
        </w:rPr>
        <w:t>. Ao fazer isso, buscamos refletir como os Racionais MC’s se inserem nesse processo de construção coletiva de saberes e práticas pedagógicas insurgentes, situando-os como intelectuais orgânicos da periferia. Assim como Cabral (1974a, 1974b,1980) compreendia a cultura como arma revolucionária essencial nas lutas anticoloniais africanas, os Racionais elaboram uma pedagogia de libertação enraizada no cotidiano das periferias urbanas brasileiras, mobilizando a arte como meio de conscientização política e emancipação social.</w:t>
      </w:r>
    </w:p>
    <w:p w14:paraId="2544D3B8"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A partir dessa perspectiva, o objetivo deste artigo é analisar como os Racionais MC’s produzem uma cultura de luta antirracista por meio da construção de uma </w:t>
      </w:r>
      <w:r w:rsidRPr="009E3A67">
        <w:rPr>
          <w:rFonts w:ascii="Times New Roman" w:eastAsia="Arial" w:hAnsi="Times New Roman" w:cs="Times New Roman"/>
          <w:i/>
          <w:sz w:val="24"/>
          <w:szCs w:val="24"/>
        </w:rPr>
        <w:t>epistemologia periférica libertadora</w:t>
      </w:r>
      <w:r w:rsidRPr="009E3A67">
        <w:rPr>
          <w:rFonts w:ascii="Times New Roman" w:eastAsia="Arial" w:hAnsi="Times New Roman" w:cs="Times New Roman"/>
          <w:sz w:val="24"/>
          <w:szCs w:val="24"/>
        </w:rPr>
        <w:t xml:space="preserve">. Pretende-se, ainda, refletir sobre os estudos de Lima (2022, 2024) que abordam a </w:t>
      </w:r>
      <w:r w:rsidRPr="009E3A67">
        <w:rPr>
          <w:rFonts w:ascii="Times New Roman" w:eastAsia="Arial" w:hAnsi="Times New Roman" w:cs="Times New Roman"/>
          <w:i/>
          <w:sz w:val="24"/>
          <w:szCs w:val="24"/>
        </w:rPr>
        <w:t>cultura de luta antirracista</w:t>
      </w:r>
      <w:r w:rsidRPr="009E3A67">
        <w:rPr>
          <w:rFonts w:ascii="Times New Roman" w:eastAsia="Arial" w:hAnsi="Times New Roman" w:cs="Times New Roman"/>
          <w:sz w:val="24"/>
          <w:szCs w:val="24"/>
        </w:rPr>
        <w:t xml:space="preserve"> e o movimento negro contemporâneo; identificar estratégias presentes na obra político-artística do grupo que evidenciem essa </w:t>
      </w:r>
      <w:r w:rsidRPr="009E3A67">
        <w:rPr>
          <w:rFonts w:ascii="Times New Roman" w:eastAsia="Arial" w:hAnsi="Times New Roman" w:cs="Times New Roman"/>
          <w:i/>
          <w:sz w:val="24"/>
          <w:szCs w:val="24"/>
        </w:rPr>
        <w:t>cultura de luta antirracista</w:t>
      </w:r>
      <w:r w:rsidRPr="009E3A67">
        <w:rPr>
          <w:rFonts w:ascii="Times New Roman" w:eastAsia="Arial" w:hAnsi="Times New Roman" w:cs="Times New Roman"/>
          <w:sz w:val="24"/>
          <w:szCs w:val="24"/>
        </w:rPr>
        <w:t>; e compreender como saberes produzidos em contextos de opressão são transformados em potência educativa. Reconhecendo a atuação do grupo de rap como parte de uma tradição de negros e negras em movimento, buscamos contribuir para a valorização das epistemologias forjadas nas margens.</w:t>
      </w:r>
    </w:p>
    <w:p w14:paraId="5C7B0359"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A metodologia adotada é de caráter qualitativo, com base em pesquisa bibliográfica e análise interpretativa de discursos, letras de músicas e entrevistas públicas do grupo. Utilizamos como referências centrais a obra de Cabral (1974a, 1974b,1980), os estudos de Lima (2022, 2024), os ensaios reunidos por Vieira e Santos (2023) e a produção de D’Andrea (2020, 2022, 2023) sobre cultura, política e formação nas periferias. Tais autores e autoras nos ajudam a reconhecer nos Racionais MC’s a formulação de uma prática pedagógica antirracista, enraizada em uma comunicação popular e na valorização dos saberes periféricos.</w:t>
      </w:r>
    </w:p>
    <w:p w14:paraId="763C4E70"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Com esta investigação, pretendemos contribuir para a ampliação do debate sobre epistemologias insurgentes e afirmar a centralidade da </w:t>
      </w:r>
      <w:r w:rsidRPr="009E3A67">
        <w:rPr>
          <w:rFonts w:ascii="Times New Roman" w:eastAsia="Arial" w:hAnsi="Times New Roman" w:cs="Times New Roman"/>
          <w:i/>
          <w:sz w:val="24"/>
          <w:szCs w:val="24"/>
        </w:rPr>
        <w:t>cultura de luta antirracista</w:t>
      </w:r>
      <w:r w:rsidRPr="009E3A67">
        <w:rPr>
          <w:rFonts w:ascii="Times New Roman" w:eastAsia="Arial" w:hAnsi="Times New Roman" w:cs="Times New Roman"/>
          <w:sz w:val="24"/>
          <w:szCs w:val="24"/>
        </w:rPr>
        <w:t xml:space="preserve"> como um caminho legítimo para pensar uma educação decolonial, crítica e comprometida com a justiça racial.</w:t>
      </w:r>
    </w:p>
    <w:p w14:paraId="029A081E" w14:textId="09A46CE2" w:rsidR="003D252C" w:rsidRPr="009E3A67" w:rsidRDefault="003D252C" w:rsidP="003D252C">
      <w:pPr>
        <w:spacing w:before="240" w:after="240"/>
        <w:jc w:val="both"/>
        <w:rPr>
          <w:rFonts w:ascii="Times New Roman" w:eastAsia="Arial" w:hAnsi="Times New Roman" w:cs="Times New Roman"/>
          <w:b/>
          <w:sz w:val="24"/>
          <w:szCs w:val="24"/>
        </w:rPr>
      </w:pPr>
      <w:r w:rsidRPr="009E3A67">
        <w:rPr>
          <w:rFonts w:ascii="Times New Roman" w:eastAsia="Arial" w:hAnsi="Times New Roman" w:cs="Times New Roman"/>
          <w:b/>
          <w:sz w:val="24"/>
          <w:szCs w:val="24"/>
        </w:rPr>
        <w:t>2.  CULTURA DE LUTA E CULTURA DE LUTA ANTIRRACISTA</w:t>
      </w:r>
    </w:p>
    <w:p w14:paraId="6A3609E3" w14:textId="77777777" w:rsidR="003D252C" w:rsidRPr="009E3A67" w:rsidRDefault="003D252C" w:rsidP="003D252C">
      <w:pPr>
        <w:spacing w:before="240"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A noção de cultura como instrumento de resistência e transformação social é central na obra do pensador panafricanista Amílcar Cabral (1924-1973). Nascido na Guiné-Bissau, Cabral foi uma das lideranças fundamentais na luta anticolonial de libertação da Guiné-Bissau e de Cabo Verde contra o domínio português. Em 1956, fundou o Partido Africano para a Independência da Guiné e Cabo Verde (PAIGC) e, posteriormente, em 1960, passou a integrar a Frente Revolucionária Africana para a Independência Nacional das Colônias Portuguesas (FRAIN/CONCP), atuando em articulação com outros países africanos em luta contra o imperialismo europeu. Cabral elaborou uma teoria revolucionária em meio à prática da luta, compreendendo a cultura como arma essencial para a libertação dos povos colonizados.</w:t>
      </w:r>
    </w:p>
    <w:p w14:paraId="36264300"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A experiência concreta nos processos de lutas de libertação africana levou Cabral (1974b) a reconhecer a importância de fortalecer a identidade cultural dos povos oprimidos.  A colonização operava não apenas pela dominação econômica e militar, mas também pelo apagamento e desqualificação das culturas locais. Cabral (1974b:34) também evidencia a existência de um </w:t>
      </w:r>
      <w:r w:rsidRPr="009E3A67">
        <w:rPr>
          <w:rFonts w:ascii="Times New Roman" w:eastAsia="Arial" w:hAnsi="Times New Roman" w:cs="Times New Roman"/>
          <w:i/>
          <w:iCs/>
          <w:sz w:val="24"/>
          <w:szCs w:val="24"/>
        </w:rPr>
        <w:t>fundo igual de cultura</w:t>
      </w:r>
      <w:r w:rsidRPr="009E3A67">
        <w:rPr>
          <w:rFonts w:ascii="Times New Roman" w:eastAsia="Arial" w:hAnsi="Times New Roman" w:cs="Times New Roman"/>
          <w:sz w:val="24"/>
          <w:szCs w:val="24"/>
        </w:rPr>
        <w:t xml:space="preserve"> aos africanos e da necessidade de reconhecer a realidade comum decorrente do colonialismo e do imperialismo nos países africanos.</w:t>
      </w:r>
    </w:p>
    <w:p w14:paraId="74E5394E" w14:textId="1985AFD7" w:rsidR="003D252C" w:rsidRPr="009E3A67" w:rsidRDefault="003D252C" w:rsidP="00845ECF">
      <w:pPr>
        <w:spacing w:after="240" w:line="360" w:lineRule="auto"/>
        <w:ind w:firstLine="851"/>
        <w:jc w:val="both"/>
        <w:rPr>
          <w:rFonts w:ascii="Times New Roman" w:eastAsia="Arial" w:hAnsi="Times New Roman" w:cs="Times New Roman"/>
          <w:sz w:val="24"/>
          <w:szCs w:val="24"/>
        </w:rPr>
      </w:pPr>
      <w:r w:rsidRPr="009E3A67">
        <w:rPr>
          <w:rStyle w:val="Refdecomentrio"/>
          <w:rFonts w:ascii="Times New Roman" w:hAnsi="Times New Roman" w:cs="Times New Roman"/>
          <w:sz w:val="24"/>
          <w:szCs w:val="24"/>
        </w:rPr>
        <w:t xml:space="preserve">A </w:t>
      </w:r>
      <w:r w:rsidRPr="009E3A67">
        <w:rPr>
          <w:rFonts w:ascii="Times New Roman" w:eastAsia="Arial" w:hAnsi="Times New Roman" w:cs="Times New Roman"/>
          <w:sz w:val="24"/>
          <w:szCs w:val="24"/>
        </w:rPr>
        <w:t>cultura sobrevive mesmo nas condições mais adversas, pois reside no cotidiano de resistência das massas populares: “Reprimida, perseguida, humilhada [...] a cultura sobrevive a todas as tempestades, para retomar, graças às lutas de libertação, toda a sua faculdade de desenvolvimento” (</w:t>
      </w:r>
      <w:r w:rsidR="00951F4C" w:rsidRPr="009E3A67">
        <w:rPr>
          <w:rFonts w:ascii="Times New Roman" w:eastAsia="Arial" w:hAnsi="Times New Roman" w:cs="Times New Roman"/>
          <w:sz w:val="24"/>
          <w:szCs w:val="24"/>
        </w:rPr>
        <w:t>CABRAL</w:t>
      </w:r>
      <w:r w:rsidRPr="009E3A67">
        <w:rPr>
          <w:rFonts w:ascii="Times New Roman" w:eastAsia="Arial" w:hAnsi="Times New Roman" w:cs="Times New Roman"/>
          <w:sz w:val="24"/>
          <w:szCs w:val="24"/>
        </w:rPr>
        <w:t>,1974a:n.p.). A cultura, nesse sentido, não é apenas um repertório simbólico, mas um campo de disputa política.</w:t>
      </w:r>
    </w:p>
    <w:p w14:paraId="18D44B2B" w14:textId="2EA791E9" w:rsidR="003D252C" w:rsidRPr="009E3A67" w:rsidRDefault="003D252C" w:rsidP="003D252C">
      <w:pPr>
        <w:widowControl w:val="0"/>
        <w:spacing w:before="156" w:after="0" w:line="240" w:lineRule="auto"/>
        <w:ind w:left="2268" w:right="115"/>
        <w:jc w:val="both"/>
        <w:rPr>
          <w:rFonts w:ascii="Times New Roman" w:eastAsia="Arial" w:hAnsi="Times New Roman" w:cs="Times New Roman"/>
          <w:sz w:val="20"/>
          <w:szCs w:val="20"/>
        </w:rPr>
      </w:pPr>
      <w:r w:rsidRPr="009E3A67">
        <w:rPr>
          <w:rFonts w:ascii="Times New Roman" w:eastAsia="Arial" w:hAnsi="Times New Roman" w:cs="Times New Roman"/>
          <w:sz w:val="20"/>
          <w:szCs w:val="20"/>
        </w:rPr>
        <w:t>Nós avançamos para a nossa luta seguros da realidade da nossa terra (com os pés fincados na terra). Quer dizer, em nosso entender não é possível fazer uma luta nas nossas condições, não é possível lutar de facto pela independência de um povo, não é possível estabelecer de facto uma luta armada, como a que tivemos que estabelecer na nossa terra, sem conhecermos a sério a nossa realidade e sem partirmos a sério dessa realidade para fazer a luta (</w:t>
      </w:r>
      <w:r w:rsidR="00951F4C" w:rsidRPr="009E3A67">
        <w:rPr>
          <w:rFonts w:ascii="Times New Roman" w:eastAsia="Arial" w:hAnsi="Times New Roman" w:cs="Times New Roman"/>
          <w:sz w:val="20"/>
          <w:szCs w:val="20"/>
        </w:rPr>
        <w:t>CABRAL</w:t>
      </w:r>
      <w:r w:rsidRPr="009E3A67">
        <w:rPr>
          <w:rFonts w:ascii="Times New Roman" w:eastAsia="Arial" w:hAnsi="Times New Roman" w:cs="Times New Roman"/>
          <w:sz w:val="20"/>
          <w:szCs w:val="20"/>
        </w:rPr>
        <w:t xml:space="preserve">, 1974b:97 </w:t>
      </w:r>
      <w:r w:rsidRPr="009E3A67">
        <w:rPr>
          <w:rFonts w:ascii="Times New Roman" w:eastAsia="Arial" w:hAnsi="Times New Roman" w:cs="Times New Roman"/>
          <w:i/>
          <w:iCs/>
          <w:sz w:val="20"/>
          <w:szCs w:val="20"/>
        </w:rPr>
        <w:t>in</w:t>
      </w:r>
      <w:r w:rsidRPr="009E3A67">
        <w:rPr>
          <w:rFonts w:ascii="Times New Roman" w:eastAsia="Arial" w:hAnsi="Times New Roman" w:cs="Times New Roman"/>
          <w:sz w:val="20"/>
          <w:szCs w:val="20"/>
        </w:rPr>
        <w:t xml:space="preserve"> Lima, 2022:46).</w:t>
      </w:r>
    </w:p>
    <w:p w14:paraId="23545E68" w14:textId="77777777" w:rsidR="003D252C" w:rsidRPr="009E3A67" w:rsidRDefault="003D252C" w:rsidP="003D252C">
      <w:pPr>
        <w:spacing w:before="240"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Ao propor o “regresso às fontes”, Cabral (1974a, 1974b,1980) indica a urgência de reconectar os processos de luta à cultura viva do povo, rompendo com linguagens eruditas que não alcançam as massas. Esse pensamento encontra eco na atuação do grupo Racionais MC’s, especialmente na afirmação de Mano Brown, um dos líderes de maior expressividade no grupo, que produz letras, interpreta e desenvolve um importante trabalho de comunicação com às periferias. Brown critica constantemente a ausência de diálogo entre a esquerda brasileira e as comunidades periféricas, destacando sempre a necessidade de “voltar para as bases”.  </w:t>
      </w:r>
    </w:p>
    <w:p w14:paraId="76B66E94"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Percebe-se então uma semelhança de pensamento entre os dois intelectuais, Amílcar Cabral e Mano Brown, no reconhecimento das realidades concretas, geográficas, econômicas, sociais e culturais, como um meio de alcançar a libertação.  Cultura e linguagem, nesse sentido, são estratégicas para a conscientização política e para a formação de uma identidade coletiva comprometida com a emancipação. Brown subiu ao palanque de campanha pró-Haddad, em 2018, diante da ameaça da vitória da extrema-direita e apontou:</w:t>
      </w:r>
    </w:p>
    <w:p w14:paraId="4FBD29D0" w14:textId="0EE29A0F" w:rsidR="003D252C" w:rsidRPr="009E3A67" w:rsidRDefault="003D252C" w:rsidP="003D252C">
      <w:pPr>
        <w:spacing w:after="0" w:line="240" w:lineRule="auto"/>
        <w:ind w:left="2268"/>
        <w:jc w:val="both"/>
        <w:rPr>
          <w:rFonts w:ascii="Times New Roman" w:eastAsia="Arial" w:hAnsi="Times New Roman" w:cs="Times New Roman"/>
          <w:sz w:val="20"/>
          <w:szCs w:val="20"/>
        </w:rPr>
      </w:pPr>
      <w:r w:rsidRPr="009E3A67">
        <w:rPr>
          <w:rFonts w:ascii="Times New Roman" w:eastAsia="Arial" w:hAnsi="Times New Roman" w:cs="Times New Roman"/>
          <w:sz w:val="20"/>
          <w:szCs w:val="20"/>
        </w:rPr>
        <w:t>Boa noite. Bom, eu vim aqui representar a mim mesmo. Não vim representar ninguém, certo? Eu não gosto do clima de festa. Não gosto, acho que a cegueira que atinge lá, atinge nóis (sic) também. Isso é perigoso. Não tá tendo motivo pra comemorar. Tem sei lá, quase 30 milhões de votos para alcançar aí. Não temos nem expectativa nenhuma pra alcançar, pra diminuir essa margem. É, não estou sendo pessimista, sou realista. Eu não consigo acreditar que pessoas que me tratavam com tanto carinho, pessoas que me respeitavam, me amavam, que me serviam café de manhã, que lavava meu carro, que atendia meu filho no hospital, se transformaram em monstros. Eu não posso acreditar nisso. Eu não posso acreditar que essas pessoas são tão más assim. Se em algum momento da comunicação do pessoal aqui falhou (apontando para os políticos petistas posicionados atrás dele), vai pagar o preço. Porque a comunicação é a alma. Se não tá conseguindo falar a língua do povo, vai perder mesmo… (</w:t>
      </w:r>
      <w:r w:rsidR="00951F4C" w:rsidRPr="009E3A67">
        <w:rPr>
          <w:rFonts w:ascii="Times New Roman" w:eastAsia="Arial" w:hAnsi="Times New Roman" w:cs="Times New Roman"/>
          <w:sz w:val="20"/>
          <w:szCs w:val="20"/>
        </w:rPr>
        <w:t>BROWN</w:t>
      </w:r>
      <w:r w:rsidRPr="009E3A67">
        <w:rPr>
          <w:rFonts w:ascii="Times New Roman" w:eastAsia="Arial" w:hAnsi="Times New Roman" w:cs="Times New Roman"/>
          <w:sz w:val="20"/>
          <w:szCs w:val="20"/>
        </w:rPr>
        <w:t>, 2018)</w:t>
      </w:r>
      <w:r w:rsidR="00951F4C">
        <w:rPr>
          <w:rFonts w:ascii="Times New Roman" w:eastAsia="Arial" w:hAnsi="Times New Roman" w:cs="Times New Roman"/>
          <w:sz w:val="20"/>
          <w:szCs w:val="20"/>
        </w:rPr>
        <w:t>.</w:t>
      </w:r>
    </w:p>
    <w:p w14:paraId="26F9E8C1" w14:textId="77777777" w:rsidR="003D252C" w:rsidRPr="009E3A67" w:rsidRDefault="003D252C" w:rsidP="003D252C">
      <w:pPr>
        <w:spacing w:after="0" w:line="240" w:lineRule="auto"/>
        <w:ind w:left="2268"/>
        <w:jc w:val="both"/>
        <w:rPr>
          <w:rFonts w:ascii="Times New Roman" w:eastAsia="Arial" w:hAnsi="Times New Roman" w:cs="Times New Roman"/>
          <w:sz w:val="20"/>
          <w:szCs w:val="20"/>
        </w:rPr>
      </w:pPr>
    </w:p>
    <w:p w14:paraId="5C6305EF"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Ainda que Mano Brown afirme que sua \era de caráter pessoal, ela estava alinhada diretamente aos anseios do povo da periferia, ao apontar o distanciamento dos discursos da esquerda na qual atribui à ausência de comunicação com a periferia.  A similaridade da crítica entre os discursos de Mano Brown e de Cabral nos impulsiona a crer na presença de uma cultura de luta antirracista no discurso de Brown e como ela está centralizada no diálogo com e para as periferias. </w:t>
      </w:r>
    </w:p>
    <w:p w14:paraId="5DE78926"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Lima (2022,2024), ao estudar o movimento negro contemporâneo no Brasil, ressignifica a proposta de Cabral ao formular o conceito de </w:t>
      </w:r>
      <w:r w:rsidRPr="009E3A67">
        <w:rPr>
          <w:rFonts w:ascii="Times New Roman" w:eastAsia="Arial" w:hAnsi="Times New Roman" w:cs="Times New Roman"/>
          <w:i/>
          <w:sz w:val="24"/>
          <w:szCs w:val="24"/>
        </w:rPr>
        <w:t>cultura de luta antirracista</w:t>
      </w:r>
      <w:r w:rsidRPr="009E3A67">
        <w:rPr>
          <w:rFonts w:ascii="Times New Roman" w:eastAsia="Arial" w:hAnsi="Times New Roman" w:cs="Times New Roman"/>
          <w:sz w:val="24"/>
          <w:szCs w:val="24"/>
        </w:rPr>
        <w:t>. A luta contra o racismo no Brasil, protagonizada pelos movimentos negros engendra práticas educativas e ações políticas que constroem uma práxis antirracista enraizada na experiência histórica da população negra. Essa cultura de luta antirracista mobiliza saberes que denunciam a estrutura racial da sociedade brasileira, questionam o mito da democracia racial e exigem reparações históricas. Trata-se de uma cultura que produz consciência crítica a partir da vivência e da organização coletiva do povo negro.</w:t>
      </w:r>
    </w:p>
    <w:p w14:paraId="16856327"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Entre os frutos concretos dessa luta, destacam-se conquistas como a Lei 10.639/2003, que tornou obrigatório o ensino da história e das culturas africanas e afro-brasileiras nas escolas. Essa conquista é resultado direto da articulação de movimentos sociais, intelectuais negros e militantes que elaboraram, por meio de práticas culturais, epistemológicas e políticas, uma reivindicação por memória, pertencimento e justiça. Nesse contexto, o </w:t>
      </w:r>
      <w:r w:rsidRPr="009E3A67">
        <w:rPr>
          <w:rFonts w:ascii="Times New Roman" w:eastAsia="Arial" w:hAnsi="Times New Roman" w:cs="Times New Roman"/>
          <w:i/>
          <w:iCs/>
          <w:sz w:val="24"/>
          <w:szCs w:val="24"/>
        </w:rPr>
        <w:t>hip hop</w:t>
      </w:r>
      <w:r w:rsidRPr="009E3A67">
        <w:rPr>
          <w:rFonts w:ascii="Times New Roman" w:eastAsia="Arial" w:hAnsi="Times New Roman" w:cs="Times New Roman"/>
          <w:sz w:val="24"/>
          <w:szCs w:val="24"/>
        </w:rPr>
        <w:t xml:space="preserve"> e, especialmente, os Racionais MC’s, desempenham um papel essencial como agentes culturais que formulam uma leitura crítica da realidade, orientam estratégias de resistência e educam a juventude negra sobre sua história, direitos e possibilidades de futuro.</w:t>
      </w:r>
    </w:p>
    <w:p w14:paraId="16399BAC" w14:textId="77777777" w:rsidR="003D252C" w:rsidRPr="009E3A67" w:rsidRDefault="003D252C" w:rsidP="003D252C">
      <w:pPr>
        <w:spacing w:line="24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Entendemos a importância dos </w:t>
      </w:r>
      <w:r w:rsidRPr="009E3A67">
        <w:rPr>
          <w:rFonts w:ascii="Times New Roman" w:eastAsia="Arial" w:hAnsi="Times New Roman" w:cs="Times New Roman"/>
          <w:i/>
          <w:sz w:val="24"/>
          <w:szCs w:val="24"/>
        </w:rPr>
        <w:t>letramentos de reexistência</w:t>
      </w:r>
      <w:r w:rsidRPr="009E3A67">
        <w:rPr>
          <w:rFonts w:ascii="Times New Roman" w:eastAsia="Arial" w:hAnsi="Times New Roman" w:cs="Times New Roman"/>
          <w:sz w:val="24"/>
          <w:szCs w:val="24"/>
        </w:rPr>
        <w:t xml:space="preserve"> no </w:t>
      </w:r>
      <w:r w:rsidRPr="009E3A67">
        <w:rPr>
          <w:rFonts w:ascii="Times New Roman" w:eastAsia="Arial" w:hAnsi="Times New Roman" w:cs="Times New Roman"/>
          <w:i/>
          <w:iCs/>
          <w:sz w:val="24"/>
          <w:szCs w:val="24"/>
        </w:rPr>
        <w:t>hip hop</w:t>
      </w:r>
      <w:r w:rsidRPr="009E3A67">
        <w:rPr>
          <w:rFonts w:ascii="Times New Roman" w:eastAsia="Arial" w:hAnsi="Times New Roman" w:cs="Times New Roman"/>
          <w:sz w:val="24"/>
          <w:szCs w:val="24"/>
        </w:rPr>
        <w:t xml:space="preserve"> sob a perspectiva de Souza (2011):</w:t>
      </w:r>
    </w:p>
    <w:p w14:paraId="3B15DA6B" w14:textId="77777777" w:rsidR="003D252C" w:rsidRPr="009E3A67" w:rsidRDefault="003D252C" w:rsidP="003D252C">
      <w:pPr>
        <w:spacing w:before="240" w:line="240" w:lineRule="auto"/>
        <w:ind w:left="2267"/>
        <w:jc w:val="both"/>
        <w:rPr>
          <w:rFonts w:ascii="Times New Roman" w:eastAsia="Arial" w:hAnsi="Times New Roman" w:cs="Times New Roman"/>
          <w:sz w:val="20"/>
          <w:szCs w:val="20"/>
        </w:rPr>
      </w:pPr>
      <w:r w:rsidRPr="009E3A67">
        <w:rPr>
          <w:rFonts w:ascii="Times New Roman" w:eastAsia="Arial" w:hAnsi="Times New Roman" w:cs="Times New Roman"/>
          <w:sz w:val="20"/>
          <w:szCs w:val="20"/>
        </w:rPr>
        <w:t>Uma das marcas da cultura hip-hop é a intimidade com que ela combina e recombina, sem hierarquizar, os multiletramentos em produções que mesclam mídias orais, verbais, imagéticas, analógicas e digitais. O universo dessa cultura leva em conta tanto as práticas educativas das quais os jovens compartilham na esfera escolar, que nem sempre têm precedentes em seus grupos de origem, com aquelas produzidas por eles na esfera do cotidiano, atribuindo-lhes significados, objetivos, e tornando-as próprias. Além disso, os letramentos no hip-hop também são sustentados por práticas engendradas pelos movimentos sociais negros que historicamente reivindicam direitos, inclusive na área da educação (2011: 35).</w:t>
      </w:r>
    </w:p>
    <w:p w14:paraId="506918E8" w14:textId="77777777" w:rsidR="003D252C" w:rsidRPr="009E3A67" w:rsidRDefault="003D252C" w:rsidP="003D252C">
      <w:pPr>
        <w:spacing w:before="240" w:after="0" w:line="360" w:lineRule="auto"/>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Assim como Cabral reconhecia a cultura como força de mobilização nas lutas africanas, é possível afirmar que, no Brasil, a </w:t>
      </w:r>
      <w:r w:rsidRPr="009E3A67">
        <w:rPr>
          <w:rFonts w:ascii="Times New Roman" w:eastAsia="Arial" w:hAnsi="Times New Roman" w:cs="Times New Roman"/>
          <w:i/>
          <w:sz w:val="24"/>
          <w:szCs w:val="24"/>
        </w:rPr>
        <w:t>cultura de luta antirracista</w:t>
      </w:r>
      <w:r w:rsidRPr="009E3A67">
        <w:rPr>
          <w:rFonts w:ascii="Times New Roman" w:eastAsia="Arial" w:hAnsi="Times New Roman" w:cs="Times New Roman"/>
          <w:sz w:val="24"/>
          <w:szCs w:val="24"/>
        </w:rPr>
        <w:t xml:space="preserve"> encontra no movimento </w:t>
      </w:r>
      <w:r w:rsidRPr="009E3A67">
        <w:rPr>
          <w:rFonts w:ascii="Times New Roman" w:eastAsia="Arial" w:hAnsi="Times New Roman" w:cs="Times New Roman"/>
          <w:i/>
          <w:iCs/>
          <w:sz w:val="24"/>
          <w:szCs w:val="24"/>
        </w:rPr>
        <w:t>hip hop</w:t>
      </w:r>
      <w:r w:rsidRPr="009E3A67">
        <w:rPr>
          <w:rFonts w:ascii="Times New Roman" w:eastAsia="Arial" w:hAnsi="Times New Roman" w:cs="Times New Roman"/>
          <w:sz w:val="24"/>
          <w:szCs w:val="24"/>
        </w:rPr>
        <w:t xml:space="preserve"> um território fértil para a produção de saberes, afetos, produção de futuro e resistências. O rap dos Racionais MC’s, enraizado nas vivências da periferia e atravessado pela memória da diáspora africana, é um exemplo potente dessa cultura em movimento internacional, que propõe o fortalecimento da coletividade e a criatividade por meio da inspiração na memória ancestral.</w:t>
      </w:r>
    </w:p>
    <w:p w14:paraId="6AED548B" w14:textId="77777777" w:rsidR="003D252C" w:rsidRPr="009E3A67" w:rsidRDefault="003D252C" w:rsidP="003D252C">
      <w:pPr>
        <w:spacing w:before="240" w:after="240"/>
        <w:rPr>
          <w:rFonts w:ascii="Times New Roman" w:eastAsia="Arial" w:hAnsi="Times New Roman" w:cs="Times New Roman"/>
          <w:sz w:val="24"/>
          <w:szCs w:val="24"/>
        </w:rPr>
      </w:pPr>
      <w:r w:rsidRPr="009E3A67">
        <w:rPr>
          <w:rFonts w:ascii="Times New Roman" w:eastAsia="Arial" w:hAnsi="Times New Roman" w:cs="Times New Roman"/>
          <w:b/>
          <w:sz w:val="24"/>
          <w:szCs w:val="24"/>
        </w:rPr>
        <w:t>3. RACIONAIS MC’S E A PEDAGOGIA DE LIBERTAÇÃO NAS PERIFERIAS</w:t>
      </w:r>
    </w:p>
    <w:p w14:paraId="2DD157A7"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Durante o processo de luta de libertação nacional na Guiné-Bissau, Amílcar Cabral e os membros do PAIGC compreenderam que, para conquistar a autonomia política, seria necessário educar o povo. Por isso, desenvolveram escolas nas zonas libertadas, onde a educação era conduzida pelos próprios militantes e articulada com as necessidades da luta. A pedagogia cabralista era, portanto, uma pedagogia de combate, pois buscava fortalecer a identidade nacional, descolonizar subjetividades e formar sujeitos conscientes de sua história e de seu papel na transformação da realidade.</w:t>
      </w:r>
    </w:p>
    <w:p w14:paraId="531C5E95" w14:textId="76E6B91A"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Essa perspectiva encontra ressonância na atuação dos Racionais MC’s no Brasil, grupo que emerge nas periferias da cidade de São Paulo durante a década de 1990, em um contexto marcado pelo aprofundamento da desigualdade social e pelo aumento da violência policial contra a população negra e pobre. O sistema de segurança público e as polícias davam continuidade nas favelas, as táticas de tortura, sequestro, perseguição e assassinatos, herdada do passado escravista e aprimorada pela ditadura militar. A denúncia e o protesto, frente ao genocídio da juventude negra, se tornam uma necessidade por esses sujeitos que vivenciavam aquela situação de terror cotidiano (</w:t>
      </w:r>
      <w:r w:rsidR="00951F4C" w:rsidRPr="009E3A67">
        <w:rPr>
          <w:rFonts w:ascii="Times New Roman" w:eastAsia="Arial" w:hAnsi="Times New Roman" w:cs="Times New Roman"/>
          <w:sz w:val="24"/>
          <w:szCs w:val="24"/>
        </w:rPr>
        <w:t>RACIONAIS MC’S</w:t>
      </w:r>
      <w:r w:rsidRPr="009E3A67">
        <w:rPr>
          <w:rFonts w:ascii="Times New Roman" w:eastAsia="Arial" w:hAnsi="Times New Roman" w:cs="Times New Roman"/>
          <w:sz w:val="24"/>
          <w:szCs w:val="24"/>
        </w:rPr>
        <w:t xml:space="preserve">, 2018:19-23).  </w:t>
      </w:r>
    </w:p>
    <w:p w14:paraId="02656DD3" w14:textId="2A50EC12"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As chacinas se tornaram práticas comuns, com destaque a do Carandiru, em 1992, e da Candelária, e Vigário Geral, em 1993. Tais práticas evidenciaram o caráter letal das políticas de segurança pública nas grandes cidades brasileiras que ameaçava a juventude periférica. Foi nesse cenário que os Racionais MC's, assim como outros agentes do rap nacional, se consolidaram como uma voz coletiva das periferias, denunciando a necropolítica e elaborando um discurso poético-político que se assemelha à um manual de sobrevivência (</w:t>
      </w:r>
      <w:r w:rsidR="00951F4C" w:rsidRPr="009E3A67">
        <w:rPr>
          <w:rFonts w:ascii="Times New Roman" w:eastAsia="Arial" w:hAnsi="Times New Roman" w:cs="Times New Roman"/>
          <w:sz w:val="24"/>
          <w:szCs w:val="24"/>
        </w:rPr>
        <w:t>OLIVEIRA</w:t>
      </w:r>
      <w:r w:rsidRPr="009E3A67">
        <w:rPr>
          <w:rFonts w:ascii="Times New Roman" w:eastAsia="Arial" w:hAnsi="Times New Roman" w:cs="Times New Roman"/>
          <w:sz w:val="24"/>
          <w:szCs w:val="24"/>
        </w:rPr>
        <w:t xml:space="preserve"> </w:t>
      </w:r>
      <w:r w:rsidRPr="009E3A67">
        <w:rPr>
          <w:rFonts w:ascii="Times New Roman" w:eastAsia="Arial" w:hAnsi="Times New Roman" w:cs="Times New Roman"/>
          <w:i/>
          <w:iCs/>
          <w:sz w:val="24"/>
          <w:szCs w:val="24"/>
        </w:rPr>
        <w:t xml:space="preserve">in </w:t>
      </w:r>
      <w:r w:rsidRPr="009E3A67">
        <w:rPr>
          <w:rFonts w:ascii="Times New Roman" w:eastAsia="Arial" w:hAnsi="Times New Roman" w:cs="Times New Roman"/>
          <w:sz w:val="24"/>
          <w:szCs w:val="24"/>
        </w:rPr>
        <w:t>Racionais MC's, 2018).</w:t>
      </w:r>
    </w:p>
    <w:p w14:paraId="0832D627" w14:textId="49546E29"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O lançamento do álbum Sobrevivendo no Inferno (1997) marcou o ápice dessa proposta político-artística (</w:t>
      </w:r>
      <w:r w:rsidR="00951F4C" w:rsidRPr="009E3A67">
        <w:rPr>
          <w:rFonts w:ascii="Times New Roman" w:eastAsia="Arial" w:hAnsi="Times New Roman" w:cs="Times New Roman"/>
          <w:sz w:val="24"/>
          <w:szCs w:val="24"/>
        </w:rPr>
        <w:t>OLIVEIRA</w:t>
      </w:r>
      <w:r w:rsidRPr="009E3A67">
        <w:rPr>
          <w:rFonts w:ascii="Times New Roman" w:eastAsia="Arial" w:hAnsi="Times New Roman" w:cs="Times New Roman"/>
          <w:sz w:val="24"/>
          <w:szCs w:val="24"/>
        </w:rPr>
        <w:t xml:space="preserve"> </w:t>
      </w:r>
      <w:r w:rsidRPr="009E3A67">
        <w:rPr>
          <w:rFonts w:ascii="Times New Roman" w:eastAsia="Arial" w:hAnsi="Times New Roman" w:cs="Times New Roman"/>
          <w:i/>
          <w:iCs/>
          <w:sz w:val="24"/>
          <w:szCs w:val="24"/>
        </w:rPr>
        <w:t>in</w:t>
      </w:r>
      <w:r w:rsidRPr="009E3A67">
        <w:rPr>
          <w:rFonts w:ascii="Times New Roman" w:eastAsia="Arial" w:hAnsi="Times New Roman" w:cs="Times New Roman"/>
          <w:sz w:val="24"/>
          <w:szCs w:val="24"/>
        </w:rPr>
        <w:t xml:space="preserve"> Racionais MC’s, 2018:27-29). Nele, os Racionais constroem uma narrativa que denuncia as condições desumanas vividas nas favelas e nos presídios, mas também aponta caminhos de resistência e de fé, articulando referências bíblicas, evangélicas, marxistas, pan-africanas e da tradição oral da periferia. Segundo Oliveira (2018:27-34), a voz coletiva encarnada nas letras do grupo assume a figura do </w:t>
      </w:r>
      <w:r w:rsidRPr="009E3A67">
        <w:rPr>
          <w:rFonts w:ascii="Times New Roman" w:eastAsia="Arial" w:hAnsi="Times New Roman" w:cs="Times New Roman"/>
          <w:i/>
          <w:sz w:val="24"/>
          <w:szCs w:val="24"/>
        </w:rPr>
        <w:t>pastor-marginal</w:t>
      </w:r>
      <w:r w:rsidRPr="009E3A67">
        <w:rPr>
          <w:rFonts w:ascii="Times New Roman" w:eastAsia="Arial" w:hAnsi="Times New Roman" w:cs="Times New Roman"/>
          <w:sz w:val="24"/>
          <w:szCs w:val="24"/>
        </w:rPr>
        <w:t>, uma liderança que acolhe, orienta e ensina, à semelhança das igrejas evangélicas presentes e crescentes nas periferias urbanas. Trata-se de um projeto de formação que, mesmo não institucionalizado, produz efeitos pedagógicos profundos na consciência racial e social da juventude negra. Essa pedagogia dos Racionais pode ser compreendida como uma teologia de sobrevivência, em que a palavra cumpre o papel de salvação não religiosa, mas política. Como afirma Oliveira in Racionais MC's (2018):</w:t>
      </w:r>
    </w:p>
    <w:p w14:paraId="214E46E0" w14:textId="3F320BBA" w:rsidR="003D252C" w:rsidRPr="009E3A67" w:rsidRDefault="003D252C" w:rsidP="003D252C">
      <w:pPr>
        <w:spacing w:before="240" w:after="240"/>
        <w:ind w:left="2267"/>
        <w:jc w:val="both"/>
        <w:rPr>
          <w:rFonts w:ascii="Times New Roman" w:eastAsia="Arial" w:hAnsi="Times New Roman" w:cs="Times New Roman"/>
          <w:sz w:val="20"/>
          <w:szCs w:val="20"/>
        </w:rPr>
      </w:pPr>
      <w:r w:rsidRPr="009E3A67">
        <w:rPr>
          <w:rFonts w:ascii="Times New Roman" w:eastAsia="Arial" w:hAnsi="Times New Roman" w:cs="Times New Roman"/>
          <w:sz w:val="20"/>
          <w:szCs w:val="20"/>
        </w:rPr>
        <w:t>É uma palavra de salvação que não mais se dirige ao Estado ou a qualquer outra instância externa à própria comunidade. Ela é caminho de salvação, desde que aquele que a escute compreenda e aceite os caminhos do proceder periférico. Seu objetivo maior é formar os sujeitos para a construção de uma ética comunitária que os permita viver a ‘vida loka’ — o estado geral da precarização das condições de existência marcadas pelo risco iminente e pela contingência — sem desandar, ou seja, permanecendo vivos (</w:t>
      </w:r>
      <w:r w:rsidR="00951F4C" w:rsidRPr="009E3A67">
        <w:rPr>
          <w:rFonts w:ascii="Times New Roman" w:eastAsia="Arial" w:hAnsi="Times New Roman" w:cs="Times New Roman"/>
          <w:sz w:val="20"/>
          <w:szCs w:val="20"/>
        </w:rPr>
        <w:t>OLIVEIRA</w:t>
      </w:r>
      <w:r w:rsidRPr="009E3A67">
        <w:rPr>
          <w:rFonts w:ascii="Times New Roman" w:eastAsia="Arial" w:hAnsi="Times New Roman" w:cs="Times New Roman"/>
          <w:sz w:val="20"/>
          <w:szCs w:val="20"/>
        </w:rPr>
        <w:t xml:space="preserve"> </w:t>
      </w:r>
      <w:r w:rsidRPr="009E3A67">
        <w:rPr>
          <w:rFonts w:ascii="Times New Roman" w:eastAsia="Arial" w:hAnsi="Times New Roman" w:cs="Times New Roman"/>
          <w:i/>
          <w:iCs/>
          <w:sz w:val="20"/>
          <w:szCs w:val="20"/>
        </w:rPr>
        <w:t>in</w:t>
      </w:r>
      <w:r w:rsidRPr="009E3A67">
        <w:rPr>
          <w:rFonts w:ascii="Times New Roman" w:eastAsia="Arial" w:hAnsi="Times New Roman" w:cs="Times New Roman"/>
          <w:sz w:val="20"/>
          <w:szCs w:val="20"/>
        </w:rPr>
        <w:t xml:space="preserve"> Racionais Mc’s, 2018:32).</w:t>
      </w:r>
    </w:p>
    <w:p w14:paraId="5301CC64"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Essa ética do </w:t>
      </w:r>
      <w:r w:rsidRPr="009E3A67">
        <w:rPr>
          <w:rFonts w:ascii="Times New Roman" w:eastAsia="Arial" w:hAnsi="Times New Roman" w:cs="Times New Roman"/>
          <w:i/>
          <w:sz w:val="24"/>
          <w:szCs w:val="24"/>
        </w:rPr>
        <w:t>proceder periférico</w:t>
      </w:r>
      <w:r w:rsidRPr="009E3A67">
        <w:rPr>
          <w:rFonts w:ascii="Times New Roman" w:eastAsia="Arial" w:hAnsi="Times New Roman" w:cs="Times New Roman"/>
          <w:sz w:val="24"/>
          <w:szCs w:val="24"/>
        </w:rPr>
        <w:t xml:space="preserve"> é, portanto, uma pedagogia da resistência, que forma sujeitos capazes de compreender sua realidade e de atuar nela. Ao narrar o cotidiano violento das periferias, mas também ao afirmar o valor da vida, da consciência e da coletividade, os Racionais criam um espaço simbólico de formação política. Suas músicas funcionam como instrumentos de educação popular, capazes de promover o letramento racial, histórico, geográfico e afetivo de jovens negros e negras que, muitas vezes, são afastados da escola e da universidade.</w:t>
      </w:r>
    </w:p>
    <w:p w14:paraId="070AFECC" w14:textId="77777777" w:rsidR="003D252C" w:rsidRPr="009E3A67" w:rsidRDefault="003D252C" w:rsidP="003D252C">
      <w:pPr>
        <w:spacing w:after="24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Além disso, essa pedagogia não está voltada para a reprodução de modelos eurocêntricos de saber, mas sim para a valorização de experiências periféricas como fontes legítimas de conhecimento. Assim, a produção político-cultural dos Racionais mobiliza princípios de uma </w:t>
      </w:r>
      <w:r w:rsidRPr="009E3A67">
        <w:rPr>
          <w:rFonts w:ascii="Times New Roman" w:eastAsia="Arial" w:hAnsi="Times New Roman" w:cs="Times New Roman"/>
          <w:i/>
          <w:sz w:val="24"/>
          <w:szCs w:val="24"/>
        </w:rPr>
        <w:t>epistemologia periférica</w:t>
      </w:r>
      <w:r w:rsidRPr="009E3A67">
        <w:rPr>
          <w:rFonts w:ascii="Times New Roman" w:eastAsia="Arial" w:hAnsi="Times New Roman" w:cs="Times New Roman"/>
          <w:sz w:val="24"/>
          <w:szCs w:val="24"/>
        </w:rPr>
        <w:t xml:space="preserve">, na qual a experiência vivida é a base para a produção de saber. Como em Cabral, trata-se de formar sujeitos conscientes, politizados e organizados para a luta coletiva. </w:t>
      </w:r>
      <w:r w:rsidRPr="009E3A67">
        <w:rPr>
          <w:rFonts w:ascii="Times New Roman" w:hAnsi="Times New Roman" w:cs="Times New Roman"/>
          <w:sz w:val="24"/>
          <w:szCs w:val="24"/>
        </w:rPr>
        <w:t>Como em Freire (1987), trata-se de</w:t>
      </w:r>
      <w:r w:rsidRPr="009E3A67">
        <w:rPr>
          <w:rFonts w:ascii="Times New Roman" w:eastAsia="Arial" w:hAnsi="Times New Roman" w:cs="Times New Roman"/>
          <w:sz w:val="24"/>
          <w:szCs w:val="24"/>
        </w:rPr>
        <w:t xml:space="preserve"> uma pedagogia da pergunta, da denúncia e do anúncio.  </w:t>
      </w:r>
    </w:p>
    <w:p w14:paraId="4BDD8777" w14:textId="77777777" w:rsidR="003D252C" w:rsidRPr="009E3A67" w:rsidRDefault="003D252C" w:rsidP="003D252C">
      <w:pPr>
        <w:spacing w:after="0" w:line="240" w:lineRule="auto"/>
        <w:ind w:left="2268"/>
        <w:jc w:val="both"/>
        <w:rPr>
          <w:rFonts w:ascii="Times New Roman" w:eastAsia="Times New Roman" w:hAnsi="Times New Roman" w:cs="Times New Roman"/>
          <w:sz w:val="20"/>
          <w:szCs w:val="20"/>
        </w:rPr>
      </w:pPr>
      <w:r w:rsidRPr="009E3A67">
        <w:rPr>
          <w:rFonts w:ascii="Times New Roman" w:eastAsia="Times New Roman" w:hAnsi="Times New Roman" w:cs="Times New Roman"/>
          <w:sz w:val="20"/>
          <w:szCs w:val="20"/>
        </w:rPr>
        <w:t>É preciso, enfatizemos, que se entreguem à práxis libertadora. O mesmo se pode dizer ou afirmar com relação ao opressor, tomado individualmente, como pessoa. Descobrir-se na posição de opressor, mesmo que sofra por este fato, não é ainda solidarizar-se com os oprimidos. Solidarizar-se com estes é algo mais que prestar assistência a trinta ou a cem, mantendo-os atados, contudo, à mesma posição de dependência. Solidarizar-se não é ter a consciência de que explora e “racionalizar” sua culpa paternalistamente. A solidariedade, exigindo de quem se solidariza, que “assuma” a situação de com quem se solidarizou, é uma atitude radical (1987:23).</w:t>
      </w:r>
    </w:p>
    <w:p w14:paraId="0CA2B248" w14:textId="77777777" w:rsidR="003D252C" w:rsidRPr="009E3A67" w:rsidRDefault="003D252C" w:rsidP="003D252C">
      <w:pPr>
        <w:spacing w:before="240" w:after="24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Os Racionais MC’s constroem, portanto, um projeto formativo não formal, que alia estética e ética periférica, resistência e política, ação e potência. Sua pedagogia é radical porque reconhece a centralidade da cultura na formação dos sujeitos e na transformação da sociedade. Nesse sentido, podemos compreendê-los como intelectuais orgânicos da periferia, cuja atuação contribui para a construção de uma cultura de luta antirracista enraizada nos saberes e nas vivências negras.</w:t>
      </w:r>
    </w:p>
    <w:p w14:paraId="589E23A9" w14:textId="77777777" w:rsidR="003D252C" w:rsidRPr="009E3A67" w:rsidRDefault="003D252C" w:rsidP="003D252C">
      <w:pPr>
        <w:spacing w:before="240" w:after="240"/>
        <w:rPr>
          <w:rFonts w:ascii="Times New Roman" w:eastAsia="Arial" w:hAnsi="Times New Roman" w:cs="Times New Roman"/>
          <w:b/>
          <w:sz w:val="24"/>
          <w:szCs w:val="24"/>
        </w:rPr>
      </w:pPr>
      <w:r w:rsidRPr="009E3A67">
        <w:rPr>
          <w:rFonts w:ascii="Times New Roman" w:eastAsia="Arial" w:hAnsi="Times New Roman" w:cs="Times New Roman"/>
          <w:b/>
          <w:sz w:val="24"/>
          <w:szCs w:val="24"/>
        </w:rPr>
        <w:t>3.1. A EPISTEMOLOGIA PERIFÉRICA LIBERTÁRIA COMO CULTURA DE LUTA ANTIRRACISTA</w:t>
      </w:r>
    </w:p>
    <w:p w14:paraId="45CAEA61" w14:textId="77777777" w:rsidR="003D252C" w:rsidRPr="009E3A67" w:rsidRDefault="003D252C" w:rsidP="00265B74">
      <w:pPr>
        <w:spacing w:before="240" w:after="24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A produção de conhecimento nas periferias urbanas brasileiras se constitui, historicamente, como uma resposta à exclusão, ao racismo estrutural e à negação dos saberes não hegemônicos. Trata-se de um saber forjado na vivência cotidiana da desigualdade e no enfrentamento direto das formas de dominação. É nesse contexto que os estudos sobre epistemologia periférica, elaborados pelo autor D’Andrea (2020, 2022), nos auxiliam a compreender como sujeitos e sujeitas periféricos elaboram modos próprios de pensar, conhecer e agir no mundo a partir de suas experiências situadas. D’Andrea (2022) explica:</w:t>
      </w:r>
    </w:p>
    <w:p w14:paraId="148E58DE" w14:textId="77777777" w:rsidR="003D252C" w:rsidRPr="009E3A67" w:rsidRDefault="003D252C" w:rsidP="003D252C">
      <w:pPr>
        <w:spacing w:after="0" w:line="240" w:lineRule="auto"/>
        <w:ind w:left="2268"/>
        <w:jc w:val="both"/>
        <w:rPr>
          <w:rFonts w:ascii="Times New Roman" w:eastAsia="Arial" w:hAnsi="Times New Roman" w:cs="Times New Roman"/>
          <w:sz w:val="20"/>
          <w:szCs w:val="20"/>
        </w:rPr>
      </w:pPr>
      <w:r w:rsidRPr="009E3A67">
        <w:rPr>
          <w:rFonts w:ascii="Times New Roman" w:eastAsia="Arial" w:hAnsi="Times New Roman" w:cs="Times New Roman"/>
          <w:sz w:val="20"/>
          <w:szCs w:val="20"/>
        </w:rPr>
        <w:t xml:space="preserve">O periférico em si é uma posição vivida, mas não percebida pelo morador de periferia. Esse momento se sintetiza no âmbito das vivências, da formação de um habitus e de uma subjetividade. </w:t>
      </w:r>
    </w:p>
    <w:p w14:paraId="33F3F705" w14:textId="77777777" w:rsidR="003D252C" w:rsidRDefault="003D252C" w:rsidP="00845ECF">
      <w:pPr>
        <w:spacing w:line="240" w:lineRule="auto"/>
        <w:ind w:left="2268"/>
        <w:jc w:val="both"/>
        <w:rPr>
          <w:rFonts w:ascii="Times New Roman" w:eastAsia="Arial" w:hAnsi="Times New Roman" w:cs="Times New Roman"/>
          <w:sz w:val="20"/>
          <w:szCs w:val="20"/>
        </w:rPr>
      </w:pPr>
      <w:r w:rsidRPr="009E3A67">
        <w:rPr>
          <w:rFonts w:ascii="Times New Roman" w:eastAsia="Arial" w:hAnsi="Times New Roman" w:cs="Times New Roman"/>
          <w:sz w:val="20"/>
          <w:szCs w:val="20"/>
        </w:rPr>
        <w:t xml:space="preserve">Esse morador passa a ser periférico para si quando percebe sua condição por meio de uma experiência social comum e compartilhada. Este tornar-se periférico para si se imbrica com processos de consciência de pertencimento periférico e/ou de contrução de periférico enquanto categoria de representação. (D’ANDREA, 2022: 229-230). </w:t>
      </w:r>
    </w:p>
    <w:p w14:paraId="46F8C626" w14:textId="77777777" w:rsidR="00951F4C" w:rsidRPr="009E3A67" w:rsidRDefault="00951F4C" w:rsidP="00951F4C">
      <w:pPr>
        <w:spacing w:after="0" w:line="240" w:lineRule="auto"/>
        <w:ind w:left="2268"/>
        <w:jc w:val="both"/>
        <w:rPr>
          <w:rFonts w:ascii="Times New Roman" w:eastAsia="Arial" w:hAnsi="Times New Roman" w:cs="Times New Roman"/>
          <w:sz w:val="20"/>
          <w:szCs w:val="20"/>
        </w:rPr>
      </w:pPr>
    </w:p>
    <w:p w14:paraId="31584166" w14:textId="77777777" w:rsidR="003D252C" w:rsidRPr="009E3A67" w:rsidRDefault="003D252C" w:rsidP="00845ECF">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Essa epistemologia é produzida pela subjetivação, os códigos culturais compartilhados, a consciência de pertencimento e a atuação política. Inseparável da dimensão territorial, ela emerge dos becos, vielas, ônibus lotados e escolas precárias; é uma ciência de corpo presente, atravessada pela urgência da sobrevivência e pela busca de libertação, seja pela denúncia ou pela afirmação.</w:t>
      </w:r>
    </w:p>
    <w:p w14:paraId="21D1C3F1" w14:textId="77777777" w:rsidR="003D252C" w:rsidRPr="009E3A67" w:rsidRDefault="003D252C" w:rsidP="00845ECF">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A epistemologia periférica também desafia os padrões tradicionais da intelectualidade acadêmica. Roza (2022), ao retomar o pensamento de Audre Lorde (1934-1992), aponta que há um processo persistente de desqualificação dos saberes dos povos subalternizados, marcado pela indigência cultural imposta às populações negras, indígenas e periféricas. A ciência moderna, ao se constituir como branca, eurocêntrica e racionalista, negou às margens a condição de produtoras de conhecimento. Nesse sentido, a produção poética, musical e cultural, fortemente alicerçada na oralidade dessas populações se apresenta como uma linguagem subversiva, capaz de expressar demandas históricas de liberdade e justiça.</w:t>
      </w:r>
    </w:p>
    <w:p w14:paraId="0756BEE2" w14:textId="77777777" w:rsidR="003D252C" w:rsidRPr="009E3A67" w:rsidRDefault="003D252C" w:rsidP="003D252C">
      <w:pPr>
        <w:spacing w:after="240"/>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Audre, Lorde (2019), em um de seus trechos mais emblemáticos, afirma:</w:t>
      </w:r>
    </w:p>
    <w:p w14:paraId="25E59EC6" w14:textId="3006BBB5" w:rsidR="003D252C" w:rsidRDefault="003D252C" w:rsidP="00512799">
      <w:pPr>
        <w:spacing w:after="0" w:line="240" w:lineRule="auto"/>
        <w:ind w:left="2262"/>
        <w:jc w:val="both"/>
        <w:rPr>
          <w:rFonts w:ascii="Times New Roman" w:eastAsia="Arial" w:hAnsi="Times New Roman" w:cs="Times New Roman"/>
          <w:sz w:val="20"/>
          <w:szCs w:val="20"/>
        </w:rPr>
      </w:pPr>
      <w:r w:rsidRPr="009E3A67">
        <w:rPr>
          <w:rFonts w:ascii="Times New Roman" w:eastAsia="Arial" w:hAnsi="Times New Roman" w:cs="Times New Roman"/>
          <w:sz w:val="20"/>
          <w:szCs w:val="20"/>
        </w:rPr>
        <w:t>Os patriarcas brancos nos disseram: “Penso, logo existo”. A mãe negra dentro de cada uma de nós — a poeta — sussurra em nossos sonhos: “Sinto, logo posso ser livre”. A poesia cria a linguagem para expressar e registrar essa demanda revolucionária, a implementação da liberdade (</w:t>
      </w:r>
      <w:r w:rsidR="00951F4C" w:rsidRPr="009E3A67">
        <w:rPr>
          <w:rFonts w:ascii="Times New Roman" w:eastAsia="Arial" w:hAnsi="Times New Roman" w:cs="Times New Roman"/>
          <w:sz w:val="20"/>
          <w:szCs w:val="20"/>
        </w:rPr>
        <w:t>LORDE</w:t>
      </w:r>
      <w:r w:rsidRPr="009E3A67">
        <w:rPr>
          <w:rFonts w:ascii="Times New Roman" w:eastAsia="Arial" w:hAnsi="Times New Roman" w:cs="Times New Roman"/>
          <w:sz w:val="20"/>
          <w:szCs w:val="20"/>
        </w:rPr>
        <w:t>, 2019:48 apud Roza, 2022:71)</w:t>
      </w:r>
      <w:r w:rsidR="00512799">
        <w:rPr>
          <w:rFonts w:ascii="Times New Roman" w:eastAsia="Arial" w:hAnsi="Times New Roman" w:cs="Times New Roman"/>
          <w:sz w:val="20"/>
          <w:szCs w:val="20"/>
        </w:rPr>
        <w:t>.</w:t>
      </w:r>
    </w:p>
    <w:p w14:paraId="3E6EDCFB" w14:textId="77777777" w:rsidR="00512799" w:rsidRPr="009E3A67" w:rsidRDefault="00512799" w:rsidP="00512799">
      <w:pPr>
        <w:spacing w:after="0" w:line="240" w:lineRule="auto"/>
        <w:ind w:left="2262"/>
        <w:jc w:val="both"/>
        <w:rPr>
          <w:rFonts w:ascii="Times New Roman" w:eastAsia="Arial" w:hAnsi="Times New Roman" w:cs="Times New Roman"/>
          <w:sz w:val="20"/>
          <w:szCs w:val="20"/>
        </w:rPr>
      </w:pPr>
    </w:p>
    <w:p w14:paraId="7508CE05"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A poesia é um instrumento revolucionário, pois permite que experiências invisibilizadas se tornem linguagem, consciência e ação. O que ela diz sobre a poesia pode ser estendido à música dos Racionais MC’s, que opera como um discurso de libertação, construído a partir da dor, da memória e da coletividade periférica.</w:t>
      </w:r>
    </w:p>
    <w:p w14:paraId="6DD48994"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A obra do grupo de Rap Racionais MC’s mobiliza estratégias narrativas que constituem um saber situado, ético e político. Canções como “Capítulo 4, Versículo 3”, “Diário de um Detento” e “Jesus Chorou” não apenas retratam a violência vivida nas periferias, mas a interpretam, analisam e propõem caminhos de resistência. Elas cumprem o papel de textos pedagógicos, ao mesmo tempo diagnósticos e propositivos, nos quais se desenham elementos de uma pedagogia crítica e de uma ética comunitária.</w:t>
      </w:r>
    </w:p>
    <w:p w14:paraId="0DAEE509"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Em “Voz Ativa”, de 1992, por exemplo, encontramos uma interpelação direta à juventude negra: </w:t>
      </w:r>
    </w:p>
    <w:p w14:paraId="09953DE6"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Eu tenho algo a dizer</w:t>
      </w:r>
    </w:p>
    <w:p w14:paraId="3D7459CD"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E explicar pra você</w:t>
      </w:r>
    </w:p>
    <w:p w14:paraId="33A5DE9F"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Mas não garanto porém</w:t>
      </w:r>
    </w:p>
    <w:p w14:paraId="7D5A48BC"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Que engraçado eu serei dessa vez</w:t>
      </w:r>
    </w:p>
    <w:p w14:paraId="0BA53F5F"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Para os manos daqui</w:t>
      </w:r>
    </w:p>
    <w:p w14:paraId="5D7CE8B7"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Para os manos de lá</w:t>
      </w:r>
    </w:p>
    <w:p w14:paraId="1BF8A014"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Se você se considera negro</w:t>
      </w:r>
    </w:p>
    <w:p w14:paraId="2C21F2D0"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Pra negro será, mano</w:t>
      </w:r>
    </w:p>
    <w:p w14:paraId="2D6CDD58"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Sei que problemas você tem demais</w:t>
      </w:r>
    </w:p>
    <w:p w14:paraId="44745342"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E nem na rua não te deixam na sua</w:t>
      </w:r>
    </w:p>
    <w:p w14:paraId="3DAAE018"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Entre madames fodidas e os racistas fardados</w:t>
      </w:r>
    </w:p>
    <w:p w14:paraId="5F63DFBE"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De cérebro atrofiado não te deixam em paz</w:t>
      </w:r>
    </w:p>
    <w:p w14:paraId="158B72DD"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Todos eles com medo generalizam demais</w:t>
      </w:r>
    </w:p>
    <w:p w14:paraId="21C23EE9"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Dizem que os negros são todos iguais</w:t>
      </w:r>
    </w:p>
    <w:p w14:paraId="33F43415"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Você concorda</w:t>
      </w:r>
    </w:p>
    <w:p w14:paraId="3A7ECF63"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Se acomoda então, não se incomoda em ver</w:t>
      </w:r>
    </w:p>
    <w:p w14:paraId="2DE6E6ED"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Mesmo sabendo que é foda prefere não se envolver</w:t>
      </w:r>
    </w:p>
    <w:p w14:paraId="0E35E366"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Finge não ser você e eu pergunto por que</w:t>
      </w:r>
    </w:p>
    <w:p w14:paraId="4461769A"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Você prefere que o outro vá se foder</w:t>
      </w:r>
    </w:p>
    <w:p w14:paraId="6A0FD4C6"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Não quero ser o Mandela, apenas dar um exemplo</w:t>
      </w:r>
    </w:p>
    <w:p w14:paraId="7C62A02B"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Não sei se você me entende</w:t>
      </w:r>
    </w:p>
    <w:p w14:paraId="6EA79591"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Mas eu lamento que</w:t>
      </w:r>
    </w:p>
    <w:p w14:paraId="2E21D6EF"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Irmãos convivam com isso naturalmente</w:t>
      </w:r>
    </w:p>
    <w:p w14:paraId="633F6105"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Não proponho ódio, porém</w:t>
      </w:r>
    </w:p>
    <w:p w14:paraId="1179E0A0"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Acho incrível que o nosso compromisso</w:t>
      </w:r>
    </w:p>
    <w:p w14:paraId="0BAB0B82"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Já esteja nesse nível</w:t>
      </w:r>
    </w:p>
    <w:p w14:paraId="3BE5223D"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Mas racionais, diferentes nunca iguais</w:t>
      </w:r>
    </w:p>
    <w:p w14:paraId="605F57D9"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Afrodinamicamente mantendo nossa honra viva</w:t>
      </w:r>
    </w:p>
    <w:p w14:paraId="44BA09EE"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Sabedoria de rua</w:t>
      </w:r>
    </w:p>
    <w:p w14:paraId="301BD118" w14:textId="77777777"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O rap mais expressiva (o que é que tem)</w:t>
      </w:r>
    </w:p>
    <w:p w14:paraId="36315332" w14:textId="1595D355" w:rsidR="003D252C" w:rsidRPr="009E3A67" w:rsidRDefault="003D252C" w:rsidP="003D252C">
      <w:pPr>
        <w:shd w:val="clear" w:color="auto" w:fill="FFFFFF"/>
        <w:spacing w:after="0" w:line="240" w:lineRule="auto"/>
        <w:ind w:left="2267"/>
        <w:jc w:val="both"/>
        <w:rPr>
          <w:rFonts w:ascii="Times New Roman" w:eastAsia="Arial" w:hAnsi="Times New Roman" w:cs="Times New Roman"/>
          <w:color w:val="1F1F1F"/>
        </w:rPr>
      </w:pPr>
      <w:r w:rsidRPr="009E3A67">
        <w:rPr>
          <w:rFonts w:ascii="Times New Roman" w:eastAsia="Arial" w:hAnsi="Times New Roman" w:cs="Times New Roman"/>
          <w:color w:val="1F1F1F"/>
        </w:rPr>
        <w:t>A juventude negra agora tem a voz ativa… (</w:t>
      </w:r>
      <w:r w:rsidR="00951F4C" w:rsidRPr="009E3A67">
        <w:rPr>
          <w:rFonts w:ascii="Times New Roman" w:eastAsia="Arial" w:hAnsi="Times New Roman" w:cs="Times New Roman"/>
          <w:color w:val="1F1F1F"/>
        </w:rPr>
        <w:t>RACIONAIS MC'S</w:t>
      </w:r>
      <w:r w:rsidRPr="009E3A67">
        <w:rPr>
          <w:rFonts w:ascii="Times New Roman" w:eastAsia="Arial" w:hAnsi="Times New Roman" w:cs="Times New Roman"/>
          <w:color w:val="1F1F1F"/>
        </w:rPr>
        <w:t>, 1992)</w:t>
      </w:r>
    </w:p>
    <w:p w14:paraId="7B3EB1F4" w14:textId="77777777" w:rsidR="00512799" w:rsidRDefault="00512799" w:rsidP="00512799">
      <w:pPr>
        <w:spacing w:after="0" w:line="240" w:lineRule="auto"/>
        <w:ind w:firstLine="709"/>
        <w:jc w:val="both"/>
        <w:rPr>
          <w:rFonts w:ascii="Times New Roman" w:eastAsia="Arial" w:hAnsi="Times New Roman" w:cs="Times New Roman"/>
          <w:sz w:val="24"/>
          <w:szCs w:val="24"/>
        </w:rPr>
      </w:pPr>
    </w:p>
    <w:p w14:paraId="5973E731" w14:textId="3E20613A" w:rsidR="003D252C" w:rsidRPr="009E3A67" w:rsidRDefault="003D252C" w:rsidP="00845ECF">
      <w:pPr>
        <w:spacing w:after="0" w:line="360" w:lineRule="auto"/>
        <w:ind w:firstLine="709"/>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Essa fala convoca à resistência, à formação de consciência e à mobilização, além de apresentar a referência de Mandela na contra o fim do </w:t>
      </w:r>
      <w:r w:rsidRPr="009E3A67">
        <w:rPr>
          <w:rFonts w:ascii="Times New Roman" w:eastAsia="Arial" w:hAnsi="Times New Roman" w:cs="Times New Roman"/>
          <w:i/>
          <w:iCs/>
          <w:sz w:val="24"/>
          <w:szCs w:val="24"/>
        </w:rPr>
        <w:t>Apartheid</w:t>
      </w:r>
      <w:r w:rsidRPr="009E3A67">
        <w:rPr>
          <w:rFonts w:ascii="Times New Roman" w:eastAsia="Arial" w:hAnsi="Times New Roman" w:cs="Times New Roman"/>
          <w:sz w:val="24"/>
          <w:szCs w:val="24"/>
        </w:rPr>
        <w:t xml:space="preserve"> na África do Sul. A letra da música também aponta o reconhecimento do racismo no Brasil e critica a imobilidade de “alguns irmãos” bem como a violência policial. A música, anterior ao álbum “Sobrevivendo no Inferno”, que por sua vez adotou um tom de acolhimento e solidariedade, demarca a revolta presente no início da carreira do grupo, decorrente da emergência da promoção de consciência na periferia. </w:t>
      </w:r>
    </w:p>
    <w:p w14:paraId="4E791FF0" w14:textId="35B5577E" w:rsidR="003D252C" w:rsidRPr="009E3A67" w:rsidRDefault="003D252C" w:rsidP="00845ECF">
      <w:pPr>
        <w:spacing w:after="0" w:line="360" w:lineRule="auto"/>
        <w:ind w:firstLine="709"/>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Com o processo de elaboração a partir da teologia de salvação (</w:t>
      </w:r>
      <w:r w:rsidR="00951F4C" w:rsidRPr="009E3A67">
        <w:rPr>
          <w:rFonts w:ascii="Times New Roman" w:eastAsia="Arial" w:hAnsi="Times New Roman" w:cs="Times New Roman"/>
          <w:sz w:val="24"/>
          <w:szCs w:val="24"/>
        </w:rPr>
        <w:t>OLIVEIRA</w:t>
      </w:r>
      <w:r w:rsidRPr="009E3A67">
        <w:rPr>
          <w:rFonts w:ascii="Times New Roman" w:eastAsia="Arial" w:hAnsi="Times New Roman" w:cs="Times New Roman"/>
          <w:sz w:val="24"/>
          <w:szCs w:val="24"/>
        </w:rPr>
        <w:t xml:space="preserve"> </w:t>
      </w:r>
      <w:r w:rsidRPr="009E3A67">
        <w:rPr>
          <w:rFonts w:ascii="Times New Roman" w:eastAsia="Arial" w:hAnsi="Times New Roman" w:cs="Times New Roman"/>
          <w:i/>
          <w:iCs/>
          <w:sz w:val="24"/>
          <w:szCs w:val="24"/>
        </w:rPr>
        <w:t>in</w:t>
      </w:r>
      <w:r w:rsidRPr="009E3A67">
        <w:rPr>
          <w:rFonts w:ascii="Times New Roman" w:eastAsia="Arial" w:hAnsi="Times New Roman" w:cs="Times New Roman"/>
          <w:sz w:val="24"/>
          <w:szCs w:val="24"/>
        </w:rPr>
        <w:t xml:space="preserve"> Racionais MC’s, 2018), os Racionais MC’s narram histórias e cotidianos da periferia como testemunhas do extermínio contra a juventude negra provocado pelas forças de segurança pública. Como griots do século XXI, o grupo narrava e denunciava com precisão histórica e intensidade emocional, transformando a experiência do terror do cárcere em uma memória coletiva. Através da música “Diário de Um Detento”, em 1997, os Racionais apresentam para toda a sociedade o violento projeto de encarceramento em massa: </w:t>
      </w:r>
    </w:p>
    <w:p w14:paraId="17CB0B90"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Cada detento uma mãe, uma crença</w:t>
      </w:r>
    </w:p>
    <w:p w14:paraId="638750D4"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Cada crime uma sentença</w:t>
      </w:r>
    </w:p>
    <w:p w14:paraId="5934B3B9"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Cada sentença um motivo, uma história de lágrima</w:t>
      </w:r>
    </w:p>
    <w:p w14:paraId="55DFB0D3"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Sangue, vidas e glórias, abandono, miséria, ódio</w:t>
      </w:r>
    </w:p>
    <w:p w14:paraId="018F68B8"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Sofrimento, desprezo, desilusão, ação do tempo</w:t>
      </w:r>
    </w:p>
    <w:p w14:paraId="75B11B0E"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Misture bem essa química</w:t>
      </w:r>
    </w:p>
    <w:p w14:paraId="2667DB7B"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Pronto, eis um novo detento</w:t>
      </w:r>
    </w:p>
    <w:p w14:paraId="795BB235"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Lamentos no corredor, na cela, no pátio</w:t>
      </w:r>
    </w:p>
    <w:p w14:paraId="4DD081C1"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Ao redor do campo, em todos os cantos</w:t>
      </w:r>
    </w:p>
    <w:p w14:paraId="530EB589"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Mas eu conheço o sistema, meu irmão, hã</w:t>
      </w:r>
    </w:p>
    <w:p w14:paraId="76571C3D"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Aqui não tem santo</w:t>
      </w:r>
    </w:p>
    <w:p w14:paraId="06E33757"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Rá-tá-tá-tá preciso evitar</w:t>
      </w:r>
    </w:p>
    <w:p w14:paraId="55CEBCBA"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Que um safado faça minha mãe chorar</w:t>
      </w:r>
    </w:p>
    <w:p w14:paraId="772B0748"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Minha palavra de honra me protege</w:t>
      </w:r>
    </w:p>
    <w:p w14:paraId="48C33B95"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Pra viver no país das calças bege</w:t>
      </w:r>
    </w:p>
    <w:p w14:paraId="04D1A8A9"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Tic, tac, ainda é 9 e 40</w:t>
      </w:r>
    </w:p>
    <w:p w14:paraId="7A401396" w14:textId="7F88A9B8" w:rsidR="003D252C" w:rsidRPr="00951F4C" w:rsidRDefault="003D252C" w:rsidP="003D252C">
      <w:pPr>
        <w:shd w:val="clear" w:color="auto" w:fill="FFFFFF"/>
        <w:spacing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O relógio da cadeia anda em câmera lenta (</w:t>
      </w:r>
      <w:r w:rsidR="00951F4C" w:rsidRPr="00951F4C">
        <w:rPr>
          <w:rFonts w:ascii="Times New Roman" w:eastAsia="Arial" w:hAnsi="Times New Roman" w:cs="Times New Roman"/>
          <w:color w:val="1F1F1F"/>
          <w:sz w:val="20"/>
          <w:szCs w:val="20"/>
        </w:rPr>
        <w:t>RACIONAIS MC'S</w:t>
      </w:r>
      <w:r w:rsidRPr="00951F4C">
        <w:rPr>
          <w:rFonts w:ascii="Times New Roman" w:eastAsia="Arial" w:hAnsi="Times New Roman" w:cs="Times New Roman"/>
          <w:color w:val="1F1F1F"/>
          <w:sz w:val="20"/>
          <w:szCs w:val="20"/>
        </w:rPr>
        <w:t>, 1997).</w:t>
      </w:r>
    </w:p>
    <w:p w14:paraId="073C6A8A" w14:textId="77777777" w:rsidR="003D252C" w:rsidRPr="009E3A67" w:rsidRDefault="003D252C" w:rsidP="00512799">
      <w:pPr>
        <w:shd w:val="clear" w:color="auto" w:fill="FFFFFF"/>
        <w:spacing w:after="0" w:line="240" w:lineRule="auto"/>
        <w:ind w:left="2268"/>
        <w:jc w:val="both"/>
        <w:rPr>
          <w:rFonts w:ascii="Times New Roman" w:eastAsia="Arial" w:hAnsi="Times New Roman" w:cs="Times New Roman"/>
          <w:color w:val="1F1F1F"/>
          <w:sz w:val="21"/>
          <w:szCs w:val="21"/>
        </w:rPr>
      </w:pPr>
    </w:p>
    <w:p w14:paraId="33CFEC27" w14:textId="77777777" w:rsidR="003D252C" w:rsidRPr="009E3A67" w:rsidRDefault="003D252C" w:rsidP="00845ECF">
      <w:pPr>
        <w:spacing w:after="0" w:line="360" w:lineRule="auto"/>
        <w:ind w:firstLine="709"/>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A letra escrita em parceria com um Ex-detento da Casa de Detenção do Carandiru, o Jocemir, demonstra a estratégia utilizada pelo grupo de produzir uma voz coletiva junto à periferia. A </w:t>
      </w:r>
      <w:r w:rsidRPr="009E3A67">
        <w:rPr>
          <w:rFonts w:ascii="Times New Roman" w:eastAsia="Arial" w:hAnsi="Times New Roman" w:cs="Times New Roman"/>
          <w:i/>
          <w:sz w:val="24"/>
          <w:szCs w:val="24"/>
        </w:rPr>
        <w:t>epistemologia periférica</w:t>
      </w:r>
      <w:r w:rsidRPr="009E3A67">
        <w:rPr>
          <w:rFonts w:ascii="Times New Roman" w:eastAsia="Arial" w:hAnsi="Times New Roman" w:cs="Times New Roman"/>
          <w:sz w:val="24"/>
          <w:szCs w:val="24"/>
        </w:rPr>
        <w:t xml:space="preserve"> elaborada pelos Racionais MC’s é, portanto, uma prática de leitura crítica da realidade que articula experiência vivida, linguagem popular, cultura negra e ação política. Trata-se de um conhecimento que descoloniza, pois se recusa a aceitar a inferiorização dos saberes negros e periféricos. Ao contrário, afirma-os como base de uma nova possibilidade de educação, pensamento e transformação social. </w:t>
      </w:r>
    </w:p>
    <w:p w14:paraId="3ACCA9CA" w14:textId="77777777" w:rsidR="00845ECF" w:rsidRPr="009E3A67" w:rsidRDefault="003D252C" w:rsidP="00845ECF">
      <w:pPr>
        <w:spacing w:after="0" w:line="360" w:lineRule="auto"/>
        <w:ind w:firstLine="709"/>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Por se tratar de uma epistemologia radical, que aponta a responsabilidade</w:t>
      </w:r>
      <w:r w:rsidRPr="009E3A67">
        <w:rPr>
          <w:rFonts w:ascii="Times New Roman" w:eastAsia="Arial" w:hAnsi="Times New Roman" w:cs="Times New Roman"/>
          <w:strike/>
          <w:sz w:val="24"/>
          <w:szCs w:val="24"/>
        </w:rPr>
        <w:t xml:space="preserve"> </w:t>
      </w:r>
      <w:r w:rsidRPr="009E3A67">
        <w:rPr>
          <w:rFonts w:ascii="Times New Roman" w:eastAsia="Arial" w:hAnsi="Times New Roman" w:cs="Times New Roman"/>
          <w:sz w:val="24"/>
          <w:szCs w:val="24"/>
        </w:rPr>
        <w:t xml:space="preserve">do Estado no genocídio da população negra, compreendemos esses saberes atrelados ao projeto de emancipação da periferia, que perpassa pela elaboração de um pensamento coletivo produzido junto às periferias, que denuncia, mas também produz autoestima e consequente coletivização da sociedade. </w:t>
      </w:r>
    </w:p>
    <w:p w14:paraId="77D795E4" w14:textId="59A57029" w:rsidR="003D252C" w:rsidRPr="009E3A67" w:rsidRDefault="003D252C" w:rsidP="00845ECF">
      <w:pPr>
        <w:spacing w:after="0" w:line="360" w:lineRule="auto"/>
        <w:ind w:firstLine="709"/>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Nesse sentido, ao dialogar com a cultura de luta de Amílcar Cabral e com a formulação de Thayara de Lima sobre a cultura de luta antirracista, os Racionais MC’s constroem um repertório próprio de libertação. Eles produzem uma ciência da palavra, da vivência e da rua. Produzem uma epistemologia que nasce do grito sufocado das favelas e se transforma em verbo, em denúncia, em salvação. Sua música é, ao mesmo tempo, crônica, liturgia e pedagogia — e, por isso mesmo, conhecimento.</w:t>
      </w:r>
    </w:p>
    <w:p w14:paraId="249E44C4" w14:textId="77777777" w:rsidR="003D252C" w:rsidRPr="009E3A67" w:rsidRDefault="003D252C" w:rsidP="003D252C">
      <w:pPr>
        <w:spacing w:after="0"/>
        <w:jc w:val="both"/>
        <w:rPr>
          <w:rFonts w:ascii="Times New Roman" w:eastAsia="Arial" w:hAnsi="Times New Roman" w:cs="Times New Roman"/>
          <w:b/>
          <w:sz w:val="24"/>
          <w:szCs w:val="24"/>
        </w:rPr>
      </w:pPr>
    </w:p>
    <w:p w14:paraId="66C0CD45" w14:textId="77777777" w:rsidR="003D252C" w:rsidRPr="009E3A67" w:rsidRDefault="003D252C" w:rsidP="003D252C">
      <w:pPr>
        <w:jc w:val="both"/>
        <w:rPr>
          <w:rFonts w:ascii="Times New Roman" w:eastAsia="Arial" w:hAnsi="Times New Roman" w:cs="Times New Roman"/>
          <w:b/>
          <w:sz w:val="24"/>
          <w:szCs w:val="24"/>
        </w:rPr>
      </w:pPr>
      <w:r w:rsidRPr="009E3A67">
        <w:rPr>
          <w:rFonts w:ascii="Times New Roman" w:eastAsia="Arial" w:hAnsi="Times New Roman" w:cs="Times New Roman"/>
          <w:b/>
          <w:sz w:val="24"/>
          <w:szCs w:val="24"/>
        </w:rPr>
        <w:t xml:space="preserve">4. A EDUCAÇÃO POR MEIO DA CULTURA DE LUTA ANTIRRACISTA: AS POTENCIALIDADES DA EPISTEMOLOGIA PERIFÉRICA DE LIBERTAÇÃO DOS RACIONAIS MC'S </w:t>
      </w:r>
    </w:p>
    <w:p w14:paraId="0D8FC781" w14:textId="77777777"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A educação formal brasileira, historicamente estruturada por valores coloniais, racistas e eurocêntricos, excluiu por séculos as epistemologias negras e indígenas dos currículos escolares. Mesmo após avanços institucionais, como a promulgação da Lei 10.639/03, ainda são tímidas as iniciativas que efetivamente reconhecem os saberes periféricos como legítimos no processo educativo. Frente a essa lacuna, o movimento negro brasileiro tem sido protagonista na elaboração de pedagogias próprias, comprometidas com a memória, a resistência e a emancipação da população negra. </w:t>
      </w:r>
    </w:p>
    <w:p w14:paraId="5FE567DE" w14:textId="1AC42C26" w:rsidR="003D252C" w:rsidRPr="009E3A67" w:rsidRDefault="003D252C" w:rsidP="003D252C">
      <w:pPr>
        <w:spacing w:after="0" w:line="360" w:lineRule="auto"/>
        <w:ind w:firstLine="851"/>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Gomes (2017) ao refletir sobre o Movimento negro Educador sob a perspectiva das Epistemologias do Sul afirma que “A relação Movimento Negro, educação e saberes nos convoca a trilhar um caminho epistemológico e político desafiador: a construção de um pensamento e de uma pedagogia pós-abissais” (</w:t>
      </w:r>
      <w:r w:rsidR="00951F4C" w:rsidRPr="009E3A67">
        <w:rPr>
          <w:rFonts w:ascii="Times New Roman" w:eastAsia="Arial" w:hAnsi="Times New Roman" w:cs="Times New Roman"/>
          <w:sz w:val="24"/>
          <w:szCs w:val="24"/>
        </w:rPr>
        <w:t>GOMES</w:t>
      </w:r>
      <w:r w:rsidRPr="009E3A67">
        <w:rPr>
          <w:rFonts w:ascii="Times New Roman" w:eastAsia="Arial" w:hAnsi="Times New Roman" w:cs="Times New Roman"/>
          <w:sz w:val="24"/>
          <w:szCs w:val="24"/>
        </w:rPr>
        <w:t>, 2017:55). É nesse contexto que os Racionais MC’s atuam como educadores populares. Seus versos funcionam como aulas públicas sobre racismo estrutural, genocídio da juventude negra, desigualdade social, violência policial e afirmação da identidade negra. A pedagogia proposta pelo grupo é forjada no cotidiano da periferia, em diálogo com a dor, mas também com a dignidade. Como uma pedagogia de resistência, ela não se limita à denúncia: propõe caminhos, compartilha estratégias e constrói um imaginário coletivo capaz de transformar a indignação em ação política. Concordamos com Souza (2023) de que os Racionais MC's produzem literatura:</w:t>
      </w:r>
    </w:p>
    <w:p w14:paraId="7ECE9ED7" w14:textId="3A6D96FC" w:rsidR="003D252C" w:rsidRPr="009E3A67" w:rsidRDefault="003D252C" w:rsidP="003D252C">
      <w:pPr>
        <w:spacing w:before="240" w:after="240" w:line="240" w:lineRule="auto"/>
        <w:ind w:left="2267"/>
        <w:jc w:val="both"/>
        <w:rPr>
          <w:rFonts w:ascii="Times New Roman" w:eastAsia="Arial" w:hAnsi="Times New Roman" w:cs="Times New Roman"/>
          <w:sz w:val="20"/>
          <w:szCs w:val="20"/>
        </w:rPr>
      </w:pPr>
      <w:r w:rsidRPr="009E3A67">
        <w:rPr>
          <w:rFonts w:ascii="Times New Roman" w:eastAsia="Arial" w:hAnsi="Times New Roman" w:cs="Times New Roman"/>
          <w:sz w:val="20"/>
          <w:szCs w:val="20"/>
        </w:rPr>
        <w:t>Os Racionais deslocam, provocam, inquietam, reescrever letras sobre periferias outras possibilidades de uso de linguagem no rap, ampliando e rompendo estereótipos e marcas de um imaginário cristalizado sobre o hip-hop. Os Racionais, bem como autores e autoras negras e negros, fazem literatura negra há séculos com uma leitura aguçada e complexa da realidade narrada e tratada em primeira pessoa, sempre no coletivo (</w:t>
      </w:r>
      <w:r w:rsidR="00951F4C" w:rsidRPr="009E3A67">
        <w:rPr>
          <w:rFonts w:ascii="Times New Roman" w:eastAsia="Arial" w:hAnsi="Times New Roman" w:cs="Times New Roman"/>
          <w:sz w:val="20"/>
          <w:szCs w:val="20"/>
        </w:rPr>
        <w:t>SOUZA</w:t>
      </w:r>
      <w:r w:rsidRPr="009E3A67">
        <w:rPr>
          <w:rFonts w:ascii="Times New Roman" w:eastAsia="Arial" w:hAnsi="Times New Roman" w:cs="Times New Roman"/>
          <w:sz w:val="20"/>
          <w:szCs w:val="20"/>
        </w:rPr>
        <w:t xml:space="preserve">, 2023:146).   </w:t>
      </w:r>
    </w:p>
    <w:p w14:paraId="57B08D39" w14:textId="77777777" w:rsidR="003D252C" w:rsidRPr="009E3A67" w:rsidRDefault="003D252C" w:rsidP="00845ECF">
      <w:pPr>
        <w:spacing w:after="0" w:line="360" w:lineRule="auto"/>
        <w:ind w:firstLine="709"/>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Essa literatura extrapola os muros da escola e ressignifica espaços como as ruas, os palcos, os bailes, as rádios comunitárias, e hoje as plataformas virtuais, como territórios pedagógicos. Como aponta D’Andrea (2020), o conhecimento produzido nesses espaços é frequentemente invisibilizado pelas instituições tradicionais de ensino, mas opera de forma potente na formação subjetiva e política dos sujeitos periféricos. Os Racionais MC’s, ao nomearem as violências e apontarem possibilidades de existência, tornam-se referência para milhares de jovens negros e negras, ensinando-os a sobreviver e mais que isso, a transformarem suas próprias realidades. </w:t>
      </w:r>
    </w:p>
    <w:p w14:paraId="2B26ABEF" w14:textId="77777777" w:rsidR="003D252C" w:rsidRPr="009E3A67" w:rsidRDefault="003D252C" w:rsidP="003D252C">
      <w:pPr>
        <w:spacing w:after="0" w:line="360" w:lineRule="auto"/>
        <w:ind w:firstLine="708"/>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No início dos anos 2000, acompanhando a nova realidade da sociedade brasileira do primeiro governo popular, os Racionais MC's assumem uma outra estética. Em 2014, as transformações econômicas, a burocratização dos movimentos sociais e a expansão do mercado fonográfico, os Racionais MC's passam a acionar novas estratégias de mobilização popular. A inserção em uma estética empreendedora, porém, não impediu que o grupo deixasse de dialogar junto às massas populares. A produção do grupo, que apesar de assumir uma narrativa de superação individualista e do direito ao consumo de bens materiais, não deixa de considerar o que está acontecendo naquele momento na periferia (Faustino, 2002). Nesse período o grupo apresenta narrativas de festa, bebidas, carros, porque naquele momento a periferia estava acessando coisas que historicamente nunca pode ter. Ainda assim, as dimensões de crítica política, sobretudo àquelas alicerçadas na </w:t>
      </w:r>
      <w:r w:rsidRPr="009E3A67">
        <w:rPr>
          <w:rFonts w:ascii="Times New Roman" w:eastAsia="Arial" w:hAnsi="Times New Roman" w:cs="Times New Roman"/>
          <w:i/>
          <w:sz w:val="24"/>
          <w:szCs w:val="24"/>
        </w:rPr>
        <w:t>cultura de luta antirracista</w:t>
      </w:r>
      <w:r w:rsidRPr="009E3A67">
        <w:rPr>
          <w:rFonts w:ascii="Times New Roman" w:eastAsia="Arial" w:hAnsi="Times New Roman" w:cs="Times New Roman"/>
          <w:sz w:val="24"/>
          <w:szCs w:val="24"/>
        </w:rPr>
        <w:t xml:space="preserve">, que demonstram o racismo persistente na sociedade. </w:t>
      </w:r>
    </w:p>
    <w:p w14:paraId="059EBCB4"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Ora, nessa história vejo dólar e vários quilates</w:t>
      </w:r>
    </w:p>
    <w:p w14:paraId="35BA06CE"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Falo pro mano que não morra e também não mate</w:t>
      </w:r>
    </w:p>
    <w:p w14:paraId="3CA3D644"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O tic-tac não espera, veja o ponteiro</w:t>
      </w:r>
    </w:p>
    <w:p w14:paraId="745FC8D7"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Essa estrada é venenosa e cheia de morteiro</w:t>
      </w:r>
    </w:p>
    <w:p w14:paraId="19A8CDA7"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Pesadelo, hum, é um elogio</w:t>
      </w:r>
    </w:p>
    <w:p w14:paraId="7BE648B8"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Pra quem vive na guerra, a paz nunca existiu</w:t>
      </w:r>
    </w:p>
    <w:p w14:paraId="4C80BEDE"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No clima quente, a minha gente sua frio</w:t>
      </w:r>
    </w:p>
    <w:p w14:paraId="02272697" w14:textId="77777777"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Vi um pretinho, seu caderno era um fuzil, fuzil</w:t>
      </w:r>
    </w:p>
    <w:p w14:paraId="33001D76" w14:textId="62530B46" w:rsidR="003D252C" w:rsidRPr="00951F4C" w:rsidRDefault="003D252C" w:rsidP="003D252C">
      <w:pPr>
        <w:shd w:val="clear" w:color="auto" w:fill="FFFFFF"/>
        <w:spacing w:after="0" w:line="240" w:lineRule="auto"/>
        <w:ind w:left="2267"/>
        <w:jc w:val="both"/>
        <w:rPr>
          <w:rFonts w:ascii="Times New Roman" w:eastAsia="Arial" w:hAnsi="Times New Roman" w:cs="Times New Roman"/>
          <w:color w:val="1F1F1F"/>
          <w:sz w:val="20"/>
          <w:szCs w:val="20"/>
        </w:rPr>
      </w:pPr>
      <w:r w:rsidRPr="00951F4C">
        <w:rPr>
          <w:rFonts w:ascii="Times New Roman" w:eastAsia="Arial" w:hAnsi="Times New Roman" w:cs="Times New Roman"/>
          <w:color w:val="1F1F1F"/>
          <w:sz w:val="20"/>
          <w:szCs w:val="20"/>
        </w:rPr>
        <w:t>Nego drama (</w:t>
      </w:r>
      <w:r w:rsidR="00951F4C" w:rsidRPr="00951F4C">
        <w:rPr>
          <w:rFonts w:ascii="Times New Roman" w:eastAsia="Arial" w:hAnsi="Times New Roman" w:cs="Times New Roman"/>
          <w:color w:val="1F1F1F"/>
          <w:sz w:val="20"/>
          <w:szCs w:val="20"/>
        </w:rPr>
        <w:t>RACIONAIS MC'S</w:t>
      </w:r>
      <w:r w:rsidRPr="00951F4C">
        <w:rPr>
          <w:rFonts w:ascii="Times New Roman" w:eastAsia="Arial" w:hAnsi="Times New Roman" w:cs="Times New Roman"/>
          <w:color w:val="1F1F1F"/>
          <w:sz w:val="20"/>
          <w:szCs w:val="20"/>
        </w:rPr>
        <w:t>, 2002).</w:t>
      </w:r>
    </w:p>
    <w:p w14:paraId="267710F6" w14:textId="77777777" w:rsidR="003D252C" w:rsidRPr="009E3A67" w:rsidRDefault="003D252C" w:rsidP="003D252C">
      <w:pPr>
        <w:spacing w:after="0" w:line="240" w:lineRule="auto"/>
        <w:ind w:left="2267"/>
        <w:jc w:val="both"/>
        <w:rPr>
          <w:rFonts w:ascii="Times New Roman" w:eastAsia="Arial" w:hAnsi="Times New Roman" w:cs="Times New Roman"/>
          <w:sz w:val="24"/>
          <w:szCs w:val="24"/>
        </w:rPr>
      </w:pPr>
    </w:p>
    <w:p w14:paraId="40D276B9" w14:textId="77777777" w:rsidR="003D252C" w:rsidRPr="009E3A67" w:rsidRDefault="003D252C" w:rsidP="003D252C">
      <w:pPr>
        <w:spacing w:after="0" w:line="360" w:lineRule="auto"/>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Ainda que esse período do grupo tenha ocorrido em meio à diversas críticas feitas por fãs e pesquisadores que acreditavam que os Racionais MC's se ‘venderam ao sistema’, o projeto político dos Racionais seguia alinhado à realidade concreta, uma vez que durante esse período houve um aumento no poder de compra nas periferias decorrente das transformações políticas provocadas pela ascensão dos partidos dos trabalhadores ao poder (FAUSTINO, 2023). A intensão de falar a linguagem da periferia seguia, fato que foi evidenciado pelo lançamento do </w:t>
      </w:r>
      <w:r w:rsidRPr="009E3A67">
        <w:rPr>
          <w:rFonts w:ascii="Times New Roman" w:eastAsia="Arial" w:hAnsi="Times New Roman" w:cs="Times New Roman"/>
          <w:i/>
          <w:iCs/>
          <w:sz w:val="24"/>
          <w:szCs w:val="24"/>
        </w:rPr>
        <w:t>single</w:t>
      </w:r>
      <w:r w:rsidRPr="009E3A67">
        <w:rPr>
          <w:rFonts w:ascii="Times New Roman" w:eastAsia="Arial" w:hAnsi="Times New Roman" w:cs="Times New Roman"/>
          <w:sz w:val="24"/>
          <w:szCs w:val="24"/>
        </w:rPr>
        <w:t xml:space="preserve"> “Mil Faces de um Homem Leal”, em homenagem ao revolucionário Carlos Mariguella (1911-1969), bem como a presença de Mano Brown nos atos e manifestações antifascistas contra o governo de extrema-direita, bem como sua crítica elaborada junto aos petistas. </w:t>
      </w:r>
    </w:p>
    <w:p w14:paraId="65216A60" w14:textId="77777777" w:rsidR="003D252C" w:rsidRPr="009E3A67" w:rsidRDefault="003D252C" w:rsidP="00845ECF">
      <w:pPr>
        <w:spacing w:line="360" w:lineRule="auto"/>
        <w:ind w:firstLine="709"/>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Percebe-se, portanto, que o protesto elaborado não só pelo grupo, como por outros agentes do rap nacional, indicam a existência de uma </w:t>
      </w:r>
      <w:r w:rsidRPr="009E3A67">
        <w:rPr>
          <w:rFonts w:ascii="Times New Roman" w:eastAsia="Arial" w:hAnsi="Times New Roman" w:cs="Times New Roman"/>
          <w:i/>
          <w:sz w:val="24"/>
          <w:szCs w:val="24"/>
        </w:rPr>
        <w:t>cultura de luta antirracista</w:t>
      </w:r>
      <w:r w:rsidRPr="009E3A67">
        <w:rPr>
          <w:rFonts w:ascii="Times New Roman" w:eastAsia="Arial" w:hAnsi="Times New Roman" w:cs="Times New Roman"/>
          <w:sz w:val="24"/>
          <w:szCs w:val="24"/>
        </w:rPr>
        <w:t xml:space="preserve">, que está engendrada em um processo educativo e de comunicação junto às massas. O reconhecimento público da influência do grupo junto à juventude negra permite que a periferia tenha acesso ao debate crítico, que por sua vez provoca o reconhecimento e orgulho das identidades pretas e periféricas como ato revolucionário capaz de possibilitar uma educação crítica e libertadora.  </w:t>
      </w:r>
      <w:r w:rsidRPr="009E3A67">
        <w:rPr>
          <w:rFonts w:ascii="Times New Roman" w:eastAsia="Arial" w:hAnsi="Times New Roman" w:cs="Times New Roman"/>
          <w:i/>
          <w:sz w:val="24"/>
          <w:szCs w:val="24"/>
        </w:rPr>
        <w:t xml:space="preserve"> </w:t>
      </w:r>
      <w:r w:rsidRPr="009E3A67">
        <w:rPr>
          <w:rFonts w:ascii="Times New Roman" w:eastAsia="Arial" w:hAnsi="Times New Roman" w:cs="Times New Roman"/>
          <w:sz w:val="24"/>
          <w:szCs w:val="24"/>
        </w:rPr>
        <w:t xml:space="preserve"> </w:t>
      </w:r>
    </w:p>
    <w:p w14:paraId="2B055B07" w14:textId="7FEFA8FE" w:rsidR="003D252C" w:rsidRPr="009E3A67" w:rsidRDefault="003D252C" w:rsidP="00FF4AC8">
      <w:pPr>
        <w:spacing w:after="0"/>
        <w:jc w:val="both"/>
        <w:rPr>
          <w:rFonts w:ascii="Times New Roman" w:eastAsia="Arial" w:hAnsi="Times New Roman" w:cs="Times New Roman"/>
          <w:b/>
          <w:sz w:val="24"/>
          <w:szCs w:val="24"/>
        </w:rPr>
      </w:pPr>
      <w:r w:rsidRPr="009E3A67">
        <w:rPr>
          <w:rFonts w:ascii="Times New Roman" w:eastAsia="Arial" w:hAnsi="Times New Roman" w:cs="Times New Roman"/>
          <w:b/>
          <w:sz w:val="24"/>
          <w:szCs w:val="24"/>
        </w:rPr>
        <w:t>5.</w:t>
      </w:r>
      <w:r w:rsidR="00FF4AC8" w:rsidRPr="009E3A67">
        <w:rPr>
          <w:rFonts w:ascii="Times New Roman" w:eastAsia="Arial" w:hAnsi="Times New Roman" w:cs="Times New Roman"/>
          <w:b/>
          <w:sz w:val="24"/>
          <w:szCs w:val="24"/>
        </w:rPr>
        <w:t xml:space="preserve"> </w:t>
      </w:r>
      <w:r w:rsidRPr="009E3A67">
        <w:rPr>
          <w:rFonts w:ascii="Times New Roman" w:eastAsia="Arial" w:hAnsi="Times New Roman" w:cs="Times New Roman"/>
          <w:b/>
          <w:sz w:val="24"/>
          <w:szCs w:val="24"/>
        </w:rPr>
        <w:t>CONCLUSÃO</w:t>
      </w:r>
    </w:p>
    <w:p w14:paraId="0781EECB" w14:textId="77777777" w:rsidR="003D252C" w:rsidRPr="009E3A67" w:rsidRDefault="003D252C" w:rsidP="00845ECF">
      <w:pPr>
        <w:spacing w:before="240" w:after="0" w:line="360" w:lineRule="auto"/>
        <w:ind w:firstLine="709"/>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Este artigo buscou analisar como os Racionais MC’s, enquanto protagonistas culturais das periferias brasileiras, promovem uma cultura de luta antirracista por meio da produção de uma </w:t>
      </w:r>
      <w:r w:rsidRPr="009E3A67">
        <w:rPr>
          <w:rFonts w:ascii="Times New Roman" w:eastAsia="Arial" w:hAnsi="Times New Roman" w:cs="Times New Roman"/>
          <w:i/>
          <w:sz w:val="24"/>
          <w:szCs w:val="24"/>
        </w:rPr>
        <w:t xml:space="preserve">epistemologia periférica libertadora, </w:t>
      </w:r>
      <w:r w:rsidRPr="009E3A67">
        <w:rPr>
          <w:rFonts w:ascii="Times New Roman" w:eastAsia="Arial" w:hAnsi="Times New Roman" w:cs="Times New Roman"/>
          <w:iCs/>
          <w:sz w:val="24"/>
          <w:szCs w:val="24"/>
        </w:rPr>
        <w:t xml:space="preserve">elaborada não só a partir das canções, mas também por meio de discursos e ações políticos essenciais para a consolidação de um projeto de libertação.  </w:t>
      </w:r>
      <w:r w:rsidRPr="009E3A67">
        <w:rPr>
          <w:rStyle w:val="Refdecomentrio"/>
          <w:rFonts w:ascii="Times New Roman" w:hAnsi="Times New Roman" w:cs="Times New Roman"/>
          <w:sz w:val="24"/>
          <w:szCs w:val="24"/>
        </w:rPr>
        <w:t>P</w:t>
      </w:r>
      <w:r w:rsidRPr="009E3A67">
        <w:rPr>
          <w:rFonts w:ascii="Times New Roman" w:eastAsia="Arial" w:hAnsi="Times New Roman" w:cs="Times New Roman"/>
          <w:sz w:val="24"/>
          <w:szCs w:val="24"/>
        </w:rPr>
        <w:t>artindo das reflexões de Amílcar Cabral sobre a centralidade da cultura nas lutas de libertação e dialogando com os estudos contemporâneos de Thayara de Lima e D’Andrea, demonstramos que a obra político-artística do grupo constitui em uma prática educativa de resistência e afirmação negra.</w:t>
      </w:r>
    </w:p>
    <w:p w14:paraId="1EB28DA8" w14:textId="77777777" w:rsidR="003D252C" w:rsidRPr="009E3A67" w:rsidRDefault="003D252C" w:rsidP="003D252C">
      <w:pPr>
        <w:spacing w:after="0" w:line="360" w:lineRule="auto"/>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Os Racionais MC’s atuam como intelectuais orgânicos, não aos moldes da leitura gramsciana, mas sim numa perspectiva situada na luta pela emancipação da população negra e periférica. Em meio ao contexto do genocídio da população negra e periférica, eles educam e reeducam as comunidades periférica e partilham saberes organizados pelo movimento negro brasileiro. Sua música funciona como um espaço de construção de consciência crítica, formação ética e política, capaz de orientar a juventude para a resistência e a sobrevivência em condições adversas. Essa epistemologia da palavra, fundamentada na vivência periférica, reafirma a importância dos saberes locais e das experiências situadas como fontes legítimas de conhecimento, bem como indica a importância da formação política para o processo de libertação. </w:t>
      </w:r>
    </w:p>
    <w:p w14:paraId="42F12A71" w14:textId="77777777" w:rsidR="003D252C" w:rsidRPr="009E3A67" w:rsidRDefault="003D252C" w:rsidP="00845ECF">
      <w:pPr>
        <w:spacing w:after="0" w:line="360" w:lineRule="auto"/>
        <w:ind w:firstLine="709"/>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Além disso, a epistemologia periférica elaborada pelo grupo, ao incorporar elementos da cultura negra, das realidades urbanas e das práticas populares, configura-se como uma alternativa aos modelos hegemônicos e excludentes de produção de conhecimento. A </w:t>
      </w:r>
      <w:r w:rsidRPr="009E3A67">
        <w:rPr>
          <w:rFonts w:ascii="Times New Roman" w:eastAsia="Arial" w:hAnsi="Times New Roman" w:cs="Times New Roman"/>
          <w:i/>
          <w:sz w:val="24"/>
          <w:szCs w:val="24"/>
        </w:rPr>
        <w:t xml:space="preserve">Epistemologia Periférica de Libertação </w:t>
      </w:r>
      <w:r w:rsidRPr="009E3A67">
        <w:rPr>
          <w:rFonts w:ascii="Times New Roman" w:eastAsia="Arial" w:hAnsi="Times New Roman" w:cs="Times New Roman"/>
          <w:sz w:val="24"/>
          <w:szCs w:val="24"/>
        </w:rPr>
        <w:t>não apenas denuncia as desigualdades, mas também aponta para a possibilidade de um processo educativo libertador e antirracista, que valoriza os sujeitos periféricos como agentes ativos da transformação social.</w:t>
      </w:r>
    </w:p>
    <w:p w14:paraId="38F604AC" w14:textId="77777777" w:rsidR="003D252C" w:rsidRPr="009E3A67" w:rsidRDefault="003D252C" w:rsidP="00845ECF">
      <w:pPr>
        <w:spacing w:after="240" w:line="360" w:lineRule="auto"/>
        <w:ind w:firstLine="709"/>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Dessa forma, a cultura de luta antirracista produzida pelos Racionais MC’s exemplifica como a periferia pode ser um território fecundo para a criação de saberes e práticas educativas revolucionárias. Compreender essa produção é fundamental para ampliar os horizontes da educação antirracista e fortalecer os processos de valorização da diversidade cultural e epistemológica no Brasil contemporâneo.</w:t>
      </w:r>
    </w:p>
    <w:p w14:paraId="511E093C" w14:textId="77777777" w:rsidR="003D252C" w:rsidRPr="009E3A67" w:rsidRDefault="003D252C" w:rsidP="003D252C">
      <w:pPr>
        <w:spacing w:before="240" w:after="240" w:line="360" w:lineRule="auto"/>
        <w:jc w:val="both"/>
        <w:rPr>
          <w:rFonts w:ascii="Times New Roman" w:eastAsia="Arial" w:hAnsi="Times New Roman" w:cs="Times New Roman"/>
          <w:b/>
          <w:sz w:val="24"/>
          <w:szCs w:val="24"/>
        </w:rPr>
      </w:pPr>
      <w:r w:rsidRPr="009E3A67">
        <w:rPr>
          <w:rFonts w:ascii="Times New Roman" w:eastAsia="Arial" w:hAnsi="Times New Roman" w:cs="Times New Roman"/>
          <w:b/>
          <w:sz w:val="24"/>
          <w:szCs w:val="24"/>
        </w:rPr>
        <w:t>REFERÊNCIAS</w:t>
      </w:r>
    </w:p>
    <w:p w14:paraId="085518F8"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CABRAL, Amílcar. </w:t>
      </w:r>
      <w:r w:rsidRPr="009E3A67">
        <w:rPr>
          <w:rFonts w:ascii="Times New Roman" w:eastAsia="Arial" w:hAnsi="Times New Roman" w:cs="Times New Roman"/>
          <w:i/>
          <w:sz w:val="24"/>
          <w:szCs w:val="24"/>
        </w:rPr>
        <w:t>O Papel da Cultura na Luta pela Independência</w:t>
      </w:r>
      <w:r w:rsidRPr="009E3A67">
        <w:rPr>
          <w:rFonts w:ascii="Times New Roman" w:eastAsia="Arial" w:hAnsi="Times New Roman" w:cs="Times New Roman"/>
          <w:sz w:val="24"/>
          <w:szCs w:val="24"/>
        </w:rPr>
        <w:t>. 1974a. Disponível em: &lt;</w:t>
      </w:r>
      <w:r w:rsidRPr="009E3A67">
        <w:rPr>
          <w:rFonts w:ascii="Times New Roman" w:hAnsi="Times New Roman" w:cs="Times New Roman"/>
          <w:sz w:val="24"/>
          <w:szCs w:val="24"/>
        </w:rPr>
        <w:t xml:space="preserve"> </w:t>
      </w:r>
      <w:hyperlink r:id="rId106" w:history="1">
        <w:r w:rsidRPr="009E3A67">
          <w:rPr>
            <w:rStyle w:val="Hyperlink"/>
            <w:rFonts w:ascii="Times New Roman" w:eastAsia="Arial" w:hAnsi="Times New Roman" w:cs="Times New Roman"/>
            <w:sz w:val="24"/>
            <w:szCs w:val="24"/>
          </w:rPr>
          <w:t>https://arquivo-abm.madeira.gov.pt/descriptions/1335255</w:t>
        </w:r>
      </w:hyperlink>
      <w:r w:rsidRPr="009E3A67">
        <w:rPr>
          <w:rFonts w:ascii="Times New Roman" w:eastAsia="Arial" w:hAnsi="Times New Roman" w:cs="Times New Roman"/>
          <w:sz w:val="24"/>
          <w:szCs w:val="24"/>
        </w:rPr>
        <w:t>&gt; Acesso em: 12 de agosto de 2025.</w:t>
      </w:r>
    </w:p>
    <w:p w14:paraId="43AB9139" w14:textId="77777777" w:rsidR="003D252C" w:rsidRPr="009E3A67" w:rsidRDefault="003D252C" w:rsidP="009A18B7">
      <w:pPr>
        <w:pStyle w:val="PargrafodaLista"/>
        <w:spacing w:after="0" w:line="240" w:lineRule="auto"/>
        <w:ind w:left="0"/>
        <w:jc w:val="both"/>
        <w:rPr>
          <w:rFonts w:ascii="Times New Roman" w:eastAsia="Arial" w:hAnsi="Times New Roman" w:cs="Times New Roman"/>
          <w:sz w:val="24"/>
          <w:szCs w:val="24"/>
        </w:rPr>
      </w:pPr>
    </w:p>
    <w:p w14:paraId="27EF1B37"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CABRAL, Amílcar. </w:t>
      </w:r>
      <w:r w:rsidRPr="009E3A67">
        <w:rPr>
          <w:rFonts w:ascii="Times New Roman" w:eastAsia="Arial" w:hAnsi="Times New Roman" w:cs="Times New Roman"/>
          <w:i/>
          <w:iCs/>
          <w:sz w:val="24"/>
          <w:szCs w:val="24"/>
        </w:rPr>
        <w:t>PAIGC: Unidade e Luta</w:t>
      </w:r>
      <w:r w:rsidRPr="009E3A67">
        <w:rPr>
          <w:rFonts w:ascii="Times New Roman" w:eastAsia="Arial" w:hAnsi="Times New Roman" w:cs="Times New Roman"/>
          <w:sz w:val="24"/>
          <w:szCs w:val="24"/>
        </w:rPr>
        <w:t>, 1974b. Disponível em: &lt;</w:t>
      </w:r>
      <w:r w:rsidRPr="009E3A67">
        <w:rPr>
          <w:rFonts w:ascii="Times New Roman" w:hAnsi="Times New Roman" w:cs="Times New Roman"/>
          <w:sz w:val="24"/>
          <w:szCs w:val="24"/>
        </w:rPr>
        <w:t xml:space="preserve"> </w:t>
      </w:r>
      <w:hyperlink r:id="rId107" w:history="1">
        <w:r w:rsidRPr="009E3A67">
          <w:rPr>
            <w:rStyle w:val="Hyperlink"/>
            <w:rFonts w:ascii="Times New Roman" w:eastAsia="Arial" w:hAnsi="Times New Roman" w:cs="Times New Roman"/>
            <w:sz w:val="24"/>
            <w:szCs w:val="24"/>
          </w:rPr>
          <w:t>https://www.marxists.org/portugues/cabral/ano/mes/97.pdf</w:t>
        </w:r>
      </w:hyperlink>
      <w:r w:rsidRPr="009E3A67">
        <w:rPr>
          <w:rFonts w:ascii="Times New Roman" w:eastAsia="Arial" w:hAnsi="Times New Roman" w:cs="Times New Roman"/>
          <w:sz w:val="24"/>
          <w:szCs w:val="24"/>
        </w:rPr>
        <w:t xml:space="preserve"> &gt; Acesso em: 12 de agosto de 2025. </w:t>
      </w:r>
    </w:p>
    <w:p w14:paraId="1AF3C8DA" w14:textId="77777777" w:rsidR="003D252C" w:rsidRPr="009E3A67" w:rsidRDefault="003D252C" w:rsidP="009A18B7">
      <w:pPr>
        <w:pStyle w:val="PargrafodaLista"/>
        <w:spacing w:after="0" w:line="240" w:lineRule="auto"/>
        <w:ind w:left="0"/>
        <w:jc w:val="both"/>
        <w:rPr>
          <w:rFonts w:ascii="Times New Roman" w:eastAsia="Arial" w:hAnsi="Times New Roman" w:cs="Times New Roman"/>
          <w:sz w:val="24"/>
          <w:szCs w:val="24"/>
        </w:rPr>
      </w:pPr>
    </w:p>
    <w:p w14:paraId="156D0BB2"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CABRAL, Amílcar. </w:t>
      </w:r>
      <w:r w:rsidRPr="009E3A67">
        <w:rPr>
          <w:rFonts w:ascii="Times New Roman" w:eastAsia="Arial" w:hAnsi="Times New Roman" w:cs="Times New Roman"/>
          <w:i/>
          <w:sz w:val="24"/>
          <w:szCs w:val="24"/>
        </w:rPr>
        <w:t>A arma da teoria</w:t>
      </w:r>
      <w:r w:rsidRPr="009E3A67">
        <w:rPr>
          <w:rFonts w:ascii="Times New Roman" w:eastAsia="Arial" w:hAnsi="Times New Roman" w:cs="Times New Roman"/>
          <w:sz w:val="24"/>
          <w:szCs w:val="24"/>
        </w:rPr>
        <w:t>. Coordenação [de]Carlos Comitini. – Rio de Janeiro: Codecri,1980.</w:t>
      </w:r>
    </w:p>
    <w:p w14:paraId="13665D7F" w14:textId="77777777" w:rsidR="003D252C" w:rsidRPr="009E3A67" w:rsidRDefault="003D252C" w:rsidP="009A18B7">
      <w:pPr>
        <w:pStyle w:val="PargrafodaLista"/>
        <w:spacing w:after="0" w:line="240" w:lineRule="auto"/>
        <w:ind w:left="0"/>
        <w:jc w:val="both"/>
        <w:rPr>
          <w:rFonts w:ascii="Times New Roman" w:eastAsia="Arial" w:hAnsi="Times New Roman" w:cs="Times New Roman"/>
          <w:sz w:val="24"/>
          <w:szCs w:val="24"/>
        </w:rPr>
      </w:pPr>
    </w:p>
    <w:p w14:paraId="591D7C98"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D’ ANDREA.  Tiaraju Pablo. </w:t>
      </w:r>
      <w:r w:rsidRPr="009E3A67">
        <w:rPr>
          <w:rFonts w:ascii="Times New Roman" w:eastAsia="Arial" w:hAnsi="Times New Roman" w:cs="Times New Roman"/>
          <w:i/>
          <w:sz w:val="24"/>
          <w:szCs w:val="24"/>
        </w:rPr>
        <w:t>A formação das sujeitas e dos sujeitos periféricos: cultura e política na periferia de São Paulo</w:t>
      </w:r>
      <w:r w:rsidRPr="009E3A67">
        <w:rPr>
          <w:rFonts w:ascii="Times New Roman" w:eastAsia="Arial" w:hAnsi="Times New Roman" w:cs="Times New Roman"/>
          <w:sz w:val="24"/>
          <w:szCs w:val="24"/>
        </w:rPr>
        <w:t>. São Paulo: Editora Dandara, 2022.</w:t>
      </w:r>
    </w:p>
    <w:p w14:paraId="5B41BA8B" w14:textId="77777777" w:rsidR="003D252C" w:rsidRPr="009E3A67" w:rsidRDefault="003D252C" w:rsidP="009A18B7">
      <w:pPr>
        <w:pStyle w:val="PargrafodaLista"/>
        <w:spacing w:after="0" w:line="240" w:lineRule="auto"/>
        <w:ind w:left="0"/>
        <w:jc w:val="both"/>
        <w:rPr>
          <w:rFonts w:ascii="Times New Roman" w:eastAsia="Arial" w:hAnsi="Times New Roman" w:cs="Times New Roman"/>
          <w:sz w:val="24"/>
          <w:szCs w:val="24"/>
        </w:rPr>
      </w:pPr>
    </w:p>
    <w:p w14:paraId="039E52D9"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D’ ANDREA.  Tiaraju Pablo. Contribuições para a definição dos conceitos periferia e sujeitas e sujeitos periféricos, </w:t>
      </w:r>
      <w:r w:rsidRPr="009E3A67">
        <w:rPr>
          <w:rFonts w:ascii="Times New Roman" w:eastAsia="Arial" w:hAnsi="Times New Roman" w:cs="Times New Roman"/>
          <w:i/>
          <w:sz w:val="24"/>
          <w:szCs w:val="24"/>
        </w:rPr>
        <w:t>Novos estudos CEBRAP</w:t>
      </w:r>
      <w:r w:rsidRPr="009E3A67">
        <w:rPr>
          <w:rFonts w:ascii="Times New Roman" w:eastAsia="Arial" w:hAnsi="Times New Roman" w:cs="Times New Roman"/>
          <w:b/>
          <w:sz w:val="24"/>
          <w:szCs w:val="24"/>
        </w:rPr>
        <w:t xml:space="preserve">, </w:t>
      </w:r>
      <w:r w:rsidRPr="009E3A67">
        <w:rPr>
          <w:rFonts w:ascii="Times New Roman" w:eastAsia="Arial" w:hAnsi="Times New Roman" w:cs="Times New Roman"/>
          <w:sz w:val="24"/>
          <w:szCs w:val="24"/>
        </w:rPr>
        <w:t>39 (1)</w:t>
      </w:r>
      <w:r w:rsidRPr="009E3A67">
        <w:rPr>
          <w:rFonts w:ascii="Times New Roman" w:eastAsia="Arial" w:hAnsi="Times New Roman" w:cs="Times New Roman"/>
          <w:b/>
          <w:sz w:val="24"/>
          <w:szCs w:val="24"/>
        </w:rPr>
        <w:t xml:space="preserve">. </w:t>
      </w:r>
      <w:r w:rsidRPr="009E3A67">
        <w:rPr>
          <w:rFonts w:ascii="Times New Roman" w:eastAsia="Arial" w:hAnsi="Times New Roman" w:cs="Times New Roman"/>
          <w:sz w:val="24"/>
          <w:szCs w:val="24"/>
        </w:rPr>
        <w:t>Jan-abr. 2020.</w:t>
      </w:r>
    </w:p>
    <w:p w14:paraId="6BDCF4F8" w14:textId="77777777" w:rsidR="003D252C" w:rsidRPr="009E3A67" w:rsidRDefault="003D252C" w:rsidP="009A18B7">
      <w:pPr>
        <w:pStyle w:val="PargrafodaLista"/>
        <w:spacing w:after="0" w:line="240" w:lineRule="auto"/>
        <w:ind w:left="0"/>
        <w:rPr>
          <w:rFonts w:ascii="Times New Roman" w:eastAsia="Arial" w:hAnsi="Times New Roman" w:cs="Times New Roman"/>
          <w:sz w:val="24"/>
          <w:szCs w:val="24"/>
        </w:rPr>
      </w:pPr>
    </w:p>
    <w:p w14:paraId="480B0F5D"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b/>
          <w:sz w:val="24"/>
          <w:szCs w:val="24"/>
        </w:rPr>
      </w:pPr>
      <w:r w:rsidRPr="009E3A67">
        <w:rPr>
          <w:rFonts w:ascii="Times New Roman" w:eastAsia="Arial" w:hAnsi="Times New Roman" w:cs="Times New Roman"/>
          <w:sz w:val="24"/>
          <w:szCs w:val="24"/>
        </w:rPr>
        <w:t xml:space="preserve">D’ ANDREA.  Tiaraju Pablo. Trabalho e periferia na obra do Racionais MC's. </w:t>
      </w:r>
      <w:r w:rsidRPr="009E3A67">
        <w:rPr>
          <w:rFonts w:ascii="Times New Roman" w:eastAsia="Arial" w:hAnsi="Times New Roman" w:cs="Times New Roman"/>
          <w:i/>
          <w:sz w:val="24"/>
          <w:szCs w:val="24"/>
        </w:rPr>
        <w:t>Racionais MC's: entre o gatilho e a tempestade</w:t>
      </w:r>
      <w:r w:rsidRPr="009E3A67">
        <w:rPr>
          <w:rFonts w:ascii="Times New Roman" w:eastAsia="Arial" w:hAnsi="Times New Roman" w:cs="Times New Roman"/>
          <w:b/>
          <w:sz w:val="24"/>
          <w:szCs w:val="24"/>
        </w:rPr>
        <w:t xml:space="preserve">, </w:t>
      </w:r>
      <w:r w:rsidRPr="009E3A67">
        <w:rPr>
          <w:rFonts w:ascii="Times New Roman" w:eastAsia="Arial" w:hAnsi="Times New Roman" w:cs="Times New Roman"/>
          <w:sz w:val="24"/>
          <w:szCs w:val="24"/>
        </w:rPr>
        <w:t>p.232-253,</w:t>
      </w:r>
      <w:r w:rsidRPr="009E3A67">
        <w:rPr>
          <w:rFonts w:ascii="Times New Roman" w:eastAsia="Arial" w:hAnsi="Times New Roman" w:cs="Times New Roman"/>
          <w:b/>
          <w:sz w:val="24"/>
          <w:szCs w:val="24"/>
        </w:rPr>
        <w:t xml:space="preserve"> </w:t>
      </w:r>
      <w:r w:rsidRPr="009E3A67">
        <w:rPr>
          <w:rFonts w:ascii="Times New Roman" w:eastAsia="Arial" w:hAnsi="Times New Roman" w:cs="Times New Roman"/>
          <w:sz w:val="24"/>
          <w:szCs w:val="24"/>
        </w:rPr>
        <w:t>2023</w:t>
      </w:r>
      <w:r w:rsidRPr="009E3A67">
        <w:rPr>
          <w:rFonts w:ascii="Times New Roman" w:eastAsia="Arial" w:hAnsi="Times New Roman" w:cs="Times New Roman"/>
          <w:b/>
          <w:sz w:val="24"/>
          <w:szCs w:val="24"/>
        </w:rPr>
        <w:t>.</w:t>
      </w:r>
    </w:p>
    <w:p w14:paraId="6B593B0C" w14:textId="77777777" w:rsidR="003D252C" w:rsidRPr="009E3A67" w:rsidRDefault="003D252C" w:rsidP="009A18B7">
      <w:pPr>
        <w:pStyle w:val="PargrafodaLista"/>
        <w:spacing w:after="0" w:line="240" w:lineRule="auto"/>
        <w:ind w:left="0"/>
        <w:jc w:val="both"/>
        <w:rPr>
          <w:rFonts w:ascii="Times New Roman" w:eastAsia="Arial" w:hAnsi="Times New Roman" w:cs="Times New Roman"/>
          <w:b/>
          <w:sz w:val="24"/>
          <w:szCs w:val="24"/>
        </w:rPr>
      </w:pPr>
    </w:p>
    <w:p w14:paraId="593B3A83"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b/>
          <w:sz w:val="24"/>
          <w:szCs w:val="24"/>
        </w:rPr>
      </w:pPr>
      <w:r w:rsidRPr="009E3A67">
        <w:rPr>
          <w:rFonts w:ascii="Times New Roman" w:eastAsia="Arial" w:hAnsi="Times New Roman" w:cs="Times New Roman"/>
          <w:sz w:val="24"/>
          <w:szCs w:val="24"/>
        </w:rPr>
        <w:t>FAUSTINO. Deivison (Deivison Nkosi). Apresentação: Notas Confusas, Mas Reais e Intensas, Sobre os Quatro Pretos Mais Perigosos do Brasil</w:t>
      </w:r>
      <w:r w:rsidRPr="009E3A67">
        <w:rPr>
          <w:rFonts w:ascii="Times New Roman" w:eastAsia="Arial" w:hAnsi="Times New Roman" w:cs="Times New Roman"/>
          <w:b/>
          <w:sz w:val="24"/>
          <w:szCs w:val="24"/>
        </w:rPr>
        <w:t xml:space="preserve">. </w:t>
      </w:r>
      <w:r w:rsidRPr="009E3A67">
        <w:rPr>
          <w:rFonts w:ascii="Times New Roman" w:eastAsia="Arial" w:hAnsi="Times New Roman" w:cs="Times New Roman"/>
          <w:sz w:val="24"/>
          <w:szCs w:val="24"/>
        </w:rPr>
        <w:t>In</w:t>
      </w:r>
      <w:r w:rsidRPr="009E3A67">
        <w:rPr>
          <w:rFonts w:ascii="Times New Roman" w:eastAsia="Arial" w:hAnsi="Times New Roman" w:cs="Times New Roman"/>
          <w:b/>
          <w:sz w:val="24"/>
          <w:szCs w:val="24"/>
        </w:rPr>
        <w:t>:</w:t>
      </w:r>
      <w:r w:rsidRPr="009E3A67">
        <w:rPr>
          <w:rFonts w:ascii="Times New Roman" w:eastAsia="Arial" w:hAnsi="Times New Roman" w:cs="Times New Roman"/>
          <w:sz w:val="24"/>
          <w:szCs w:val="24"/>
        </w:rPr>
        <w:t xml:space="preserve">Vieira e Santos (org.) </w:t>
      </w:r>
      <w:r w:rsidRPr="009E3A67">
        <w:rPr>
          <w:rFonts w:ascii="Times New Roman" w:eastAsia="Arial" w:hAnsi="Times New Roman" w:cs="Times New Roman"/>
          <w:i/>
          <w:sz w:val="24"/>
          <w:szCs w:val="24"/>
        </w:rPr>
        <w:t>Racionais MC's: Entre o Gatilho e a Tempestade</w:t>
      </w:r>
      <w:r w:rsidRPr="009E3A67">
        <w:rPr>
          <w:rFonts w:ascii="Times New Roman" w:eastAsia="Arial" w:hAnsi="Times New Roman" w:cs="Times New Roman"/>
          <w:sz w:val="24"/>
          <w:szCs w:val="24"/>
        </w:rPr>
        <w:t>, 2023 p. xvii-xxviii</w:t>
      </w:r>
      <w:r w:rsidRPr="009E3A67">
        <w:rPr>
          <w:rFonts w:ascii="Times New Roman" w:eastAsia="Arial" w:hAnsi="Times New Roman" w:cs="Times New Roman"/>
          <w:b/>
          <w:sz w:val="24"/>
          <w:szCs w:val="24"/>
        </w:rPr>
        <w:t xml:space="preserve">  </w:t>
      </w:r>
    </w:p>
    <w:p w14:paraId="504096DF" w14:textId="77777777" w:rsidR="003D252C" w:rsidRPr="009E3A67" w:rsidRDefault="003D252C" w:rsidP="009A18B7">
      <w:pPr>
        <w:pStyle w:val="PargrafodaLista"/>
        <w:spacing w:after="0" w:line="240" w:lineRule="auto"/>
        <w:ind w:left="0"/>
        <w:jc w:val="both"/>
        <w:rPr>
          <w:rFonts w:ascii="Times New Roman" w:eastAsia="Arial" w:hAnsi="Times New Roman" w:cs="Times New Roman"/>
          <w:b/>
          <w:sz w:val="24"/>
          <w:szCs w:val="24"/>
        </w:rPr>
      </w:pPr>
    </w:p>
    <w:p w14:paraId="58E8B656"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Times New Roman" w:hAnsi="Times New Roman" w:cs="Times New Roman"/>
          <w:sz w:val="24"/>
          <w:szCs w:val="24"/>
        </w:rPr>
      </w:pPr>
      <w:r w:rsidRPr="009E3A67">
        <w:rPr>
          <w:rFonts w:ascii="Times New Roman" w:eastAsia="Times New Roman" w:hAnsi="Times New Roman" w:cs="Times New Roman"/>
          <w:color w:val="001D35"/>
          <w:sz w:val="24"/>
          <w:szCs w:val="24"/>
          <w:shd w:val="clear" w:color="auto" w:fill="FFFFFF"/>
        </w:rPr>
        <w:t>FREIRE, Paulo. </w:t>
      </w:r>
      <w:r w:rsidRPr="009E3A67">
        <w:rPr>
          <w:rFonts w:ascii="Times New Roman" w:eastAsia="Times New Roman" w:hAnsi="Times New Roman" w:cs="Times New Roman"/>
          <w:i/>
          <w:iCs/>
          <w:color w:val="001D35"/>
          <w:sz w:val="24"/>
          <w:szCs w:val="24"/>
          <w:shd w:val="clear" w:color="auto" w:fill="FFFFFF"/>
        </w:rPr>
        <w:t>Pedagogia do oprimido</w:t>
      </w:r>
      <w:r w:rsidRPr="009E3A67">
        <w:rPr>
          <w:rFonts w:ascii="Times New Roman" w:eastAsia="Times New Roman" w:hAnsi="Times New Roman" w:cs="Times New Roman"/>
          <w:color w:val="001D35"/>
          <w:sz w:val="24"/>
          <w:szCs w:val="24"/>
          <w:shd w:val="clear" w:color="auto" w:fill="FFFFFF"/>
        </w:rPr>
        <w:t>. 17. ed. Rio de Janeiro: Paz e Terra, 1987.</w:t>
      </w:r>
    </w:p>
    <w:p w14:paraId="72A7EC76" w14:textId="77777777" w:rsidR="003D252C" w:rsidRPr="009E3A67" w:rsidRDefault="003D252C" w:rsidP="009A18B7">
      <w:pPr>
        <w:pStyle w:val="PargrafodaLista"/>
        <w:spacing w:after="0" w:line="240" w:lineRule="auto"/>
        <w:ind w:left="0"/>
        <w:jc w:val="both"/>
        <w:rPr>
          <w:rFonts w:ascii="Times New Roman" w:eastAsia="Arial" w:hAnsi="Times New Roman" w:cs="Times New Roman"/>
          <w:b/>
          <w:sz w:val="24"/>
          <w:szCs w:val="24"/>
        </w:rPr>
      </w:pPr>
    </w:p>
    <w:p w14:paraId="2F27684C"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b/>
          <w:sz w:val="24"/>
          <w:szCs w:val="24"/>
        </w:rPr>
      </w:pPr>
      <w:r w:rsidRPr="009E3A67">
        <w:rPr>
          <w:rFonts w:ascii="Times New Roman" w:eastAsia="Arial" w:hAnsi="Times New Roman" w:cs="Times New Roman"/>
          <w:sz w:val="24"/>
          <w:szCs w:val="24"/>
        </w:rPr>
        <w:t xml:space="preserve">GOMES, Nilma Lino. </w:t>
      </w:r>
      <w:r w:rsidRPr="009E3A67">
        <w:rPr>
          <w:rFonts w:ascii="Times New Roman" w:eastAsia="Arial" w:hAnsi="Times New Roman" w:cs="Times New Roman"/>
          <w:i/>
          <w:sz w:val="24"/>
          <w:szCs w:val="24"/>
        </w:rPr>
        <w:t>O movimento negro educador. Saberes construídos na luta por emancipação</w:t>
      </w:r>
      <w:r w:rsidRPr="009E3A67">
        <w:rPr>
          <w:rFonts w:ascii="Times New Roman" w:eastAsia="Arial" w:hAnsi="Times New Roman" w:cs="Times New Roman"/>
          <w:b/>
          <w:sz w:val="24"/>
          <w:szCs w:val="24"/>
        </w:rPr>
        <w:t xml:space="preserve">. </w:t>
      </w:r>
      <w:r w:rsidRPr="009E3A67">
        <w:rPr>
          <w:rFonts w:ascii="Times New Roman" w:eastAsia="Arial" w:hAnsi="Times New Roman" w:cs="Times New Roman"/>
          <w:sz w:val="24"/>
          <w:szCs w:val="24"/>
        </w:rPr>
        <w:t>Petrópolis, RJ: vozes, 2017.</w:t>
      </w:r>
    </w:p>
    <w:p w14:paraId="15D90826" w14:textId="77777777" w:rsidR="003D252C" w:rsidRPr="009E3A67" w:rsidRDefault="003D252C" w:rsidP="009A18B7">
      <w:pPr>
        <w:pStyle w:val="PargrafodaLista"/>
        <w:spacing w:after="0" w:line="240" w:lineRule="auto"/>
        <w:ind w:left="0"/>
        <w:jc w:val="both"/>
        <w:rPr>
          <w:rFonts w:ascii="Times New Roman" w:eastAsia="Arial" w:hAnsi="Times New Roman" w:cs="Times New Roman"/>
          <w:b/>
          <w:sz w:val="24"/>
          <w:szCs w:val="24"/>
        </w:rPr>
      </w:pPr>
    </w:p>
    <w:p w14:paraId="421A59CB"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LIMA, Thayara de. </w:t>
      </w:r>
      <w:r w:rsidRPr="009E3A67">
        <w:rPr>
          <w:rFonts w:ascii="Times New Roman" w:eastAsia="Arial" w:hAnsi="Times New Roman" w:cs="Times New Roman"/>
          <w:i/>
          <w:sz w:val="24"/>
          <w:szCs w:val="24"/>
        </w:rPr>
        <w:t>A cultura de luta antirracista e o movimento negro do século 21</w:t>
      </w:r>
      <w:r w:rsidRPr="009E3A67">
        <w:rPr>
          <w:rFonts w:ascii="Times New Roman" w:eastAsia="Arial" w:hAnsi="Times New Roman" w:cs="Times New Roman"/>
          <w:sz w:val="24"/>
          <w:szCs w:val="24"/>
        </w:rPr>
        <w:t xml:space="preserve">.1 ed. Rio de Janeiro: Palas Editora, 2024.  </w:t>
      </w:r>
    </w:p>
    <w:p w14:paraId="07F39F3C" w14:textId="77777777" w:rsidR="003D252C" w:rsidRPr="009E3A67" w:rsidRDefault="003D252C" w:rsidP="009A18B7">
      <w:pPr>
        <w:pStyle w:val="PargrafodaLista"/>
        <w:spacing w:after="0" w:line="240" w:lineRule="auto"/>
        <w:ind w:left="0"/>
        <w:jc w:val="both"/>
        <w:rPr>
          <w:rFonts w:ascii="Times New Roman" w:eastAsia="Arial" w:hAnsi="Times New Roman" w:cs="Times New Roman"/>
          <w:sz w:val="24"/>
          <w:szCs w:val="24"/>
        </w:rPr>
      </w:pPr>
    </w:p>
    <w:p w14:paraId="28307626"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LIMA, Thayara Cristine Silva de. </w:t>
      </w:r>
      <w:r w:rsidRPr="009E3A67">
        <w:rPr>
          <w:rFonts w:ascii="Times New Roman" w:eastAsia="Arial" w:hAnsi="Times New Roman" w:cs="Times New Roman"/>
          <w:i/>
          <w:sz w:val="24"/>
          <w:szCs w:val="24"/>
        </w:rPr>
        <w:t>Ensino de história forjado na luta: A cultura De luta antirracista e seu potencial educador</w:t>
      </w:r>
      <w:r w:rsidRPr="009E3A67">
        <w:rPr>
          <w:rFonts w:ascii="Times New Roman" w:eastAsia="Arial" w:hAnsi="Times New Roman" w:cs="Times New Roman"/>
          <w:sz w:val="24"/>
          <w:szCs w:val="24"/>
        </w:rPr>
        <w:t>,</w:t>
      </w:r>
      <w:r w:rsidRPr="009E3A67">
        <w:rPr>
          <w:rFonts w:ascii="Times New Roman" w:hAnsi="Times New Roman" w:cs="Times New Roman"/>
          <w:sz w:val="24"/>
          <w:szCs w:val="24"/>
          <w:shd w:val="clear" w:color="auto" w:fill="FFFFFF"/>
        </w:rPr>
        <w:t xml:space="preserve"> </w:t>
      </w:r>
      <w:r w:rsidRPr="009E3A67">
        <w:rPr>
          <w:rFonts w:ascii="Times New Roman" w:eastAsia="Times New Roman" w:hAnsi="Times New Roman" w:cs="Times New Roman"/>
          <w:sz w:val="24"/>
          <w:szCs w:val="24"/>
          <w:shd w:val="clear" w:color="auto" w:fill="FFFFFF"/>
        </w:rPr>
        <w:t>Tese (Doutorado em educação), Universidade Federal do Rio de Janeiro,</w:t>
      </w:r>
      <w:r w:rsidRPr="009E3A67">
        <w:rPr>
          <w:rFonts w:ascii="Times New Roman" w:eastAsia="Arial" w:hAnsi="Times New Roman" w:cs="Times New Roman"/>
          <w:sz w:val="24"/>
          <w:szCs w:val="24"/>
        </w:rPr>
        <w:t xml:space="preserve"> 2022. Disponível em: &lt;</w:t>
      </w:r>
      <w:r w:rsidRPr="009E3A67">
        <w:rPr>
          <w:rFonts w:ascii="Times New Roman" w:hAnsi="Times New Roman" w:cs="Times New Roman"/>
          <w:sz w:val="24"/>
          <w:szCs w:val="24"/>
        </w:rPr>
        <w:t xml:space="preserve"> </w:t>
      </w:r>
      <w:hyperlink r:id="rId108" w:history="1">
        <w:r w:rsidRPr="009E3A67">
          <w:rPr>
            <w:rStyle w:val="Hyperlink"/>
            <w:rFonts w:ascii="Times New Roman" w:eastAsia="Arial" w:hAnsi="Times New Roman" w:cs="Times New Roman"/>
            <w:sz w:val="24"/>
            <w:szCs w:val="24"/>
          </w:rPr>
          <w:t>https://ppge.educacao.ufrj.br/teses2022/tThayara%20Cristine%20Silva%20de%20Lima.pdf</w:t>
        </w:r>
      </w:hyperlink>
      <w:r w:rsidRPr="009E3A67">
        <w:rPr>
          <w:rFonts w:ascii="Times New Roman" w:eastAsia="Arial" w:hAnsi="Times New Roman" w:cs="Times New Roman"/>
          <w:sz w:val="24"/>
          <w:szCs w:val="24"/>
        </w:rPr>
        <w:t>&gt; Acesso em 12/08/2025.</w:t>
      </w:r>
    </w:p>
    <w:p w14:paraId="66314FDE" w14:textId="77777777" w:rsidR="003D252C" w:rsidRPr="009E3A67" w:rsidRDefault="003D252C" w:rsidP="009A18B7">
      <w:pPr>
        <w:spacing w:after="0" w:line="240" w:lineRule="auto"/>
        <w:jc w:val="both"/>
        <w:rPr>
          <w:rFonts w:ascii="Times New Roman" w:eastAsia="Times New Roman" w:hAnsi="Times New Roman" w:cs="Times New Roman"/>
          <w:sz w:val="24"/>
          <w:szCs w:val="24"/>
        </w:rPr>
      </w:pPr>
    </w:p>
    <w:p w14:paraId="0CD1DD1B"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OLIVEIRA, Acauam Silvério. O evangelho Marginal dos Racionais MC's. In: Racionais MC's, </w:t>
      </w:r>
      <w:r w:rsidRPr="009E3A67">
        <w:rPr>
          <w:rFonts w:ascii="Times New Roman" w:eastAsia="Arial" w:hAnsi="Times New Roman" w:cs="Times New Roman"/>
          <w:i/>
          <w:sz w:val="24"/>
          <w:szCs w:val="24"/>
        </w:rPr>
        <w:t>Sobrevivendo no Inferno</w:t>
      </w:r>
      <w:r w:rsidRPr="009E3A67">
        <w:rPr>
          <w:rFonts w:ascii="Times New Roman" w:eastAsia="Arial" w:hAnsi="Times New Roman" w:cs="Times New Roman"/>
          <w:sz w:val="24"/>
          <w:szCs w:val="24"/>
        </w:rPr>
        <w:t>. São Paulo: Companhia das Letras.p 19-37, 2018.</w:t>
      </w:r>
    </w:p>
    <w:p w14:paraId="6A1C0609" w14:textId="77777777" w:rsidR="003D252C" w:rsidRPr="009E3A67" w:rsidRDefault="003D252C" w:rsidP="009A18B7">
      <w:pPr>
        <w:pStyle w:val="PargrafodaLista"/>
        <w:spacing w:after="0" w:line="240" w:lineRule="auto"/>
        <w:ind w:left="0"/>
        <w:jc w:val="both"/>
        <w:rPr>
          <w:rFonts w:ascii="Times New Roman" w:eastAsia="Arial" w:hAnsi="Times New Roman" w:cs="Times New Roman"/>
          <w:sz w:val="24"/>
          <w:szCs w:val="24"/>
        </w:rPr>
      </w:pPr>
    </w:p>
    <w:p w14:paraId="50206E12"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Times New Roman" w:hAnsi="Times New Roman" w:cs="Times New Roman"/>
          <w:sz w:val="24"/>
          <w:szCs w:val="24"/>
        </w:rPr>
      </w:pPr>
      <w:r w:rsidRPr="009E3A67">
        <w:rPr>
          <w:rFonts w:ascii="Times New Roman" w:eastAsia="Arial" w:hAnsi="Times New Roman" w:cs="Times New Roman"/>
          <w:sz w:val="24"/>
          <w:szCs w:val="24"/>
        </w:rPr>
        <w:t xml:space="preserve">RACIONAIS MC’S, </w:t>
      </w:r>
      <w:r w:rsidRPr="009E3A67">
        <w:rPr>
          <w:rFonts w:ascii="Times New Roman" w:eastAsia="Times New Roman" w:hAnsi="Times New Roman" w:cs="Times New Roman"/>
          <w:i/>
          <w:iCs/>
          <w:color w:val="040C28"/>
          <w:sz w:val="24"/>
          <w:szCs w:val="24"/>
          <w:shd w:val="clear" w:color="auto" w:fill="FFFFFF"/>
        </w:rPr>
        <w:t>Sobrevivendo no Inferno</w:t>
      </w:r>
      <w:r w:rsidRPr="009E3A67">
        <w:rPr>
          <w:rFonts w:ascii="Times New Roman" w:eastAsia="Times New Roman" w:hAnsi="Times New Roman" w:cs="Times New Roman"/>
          <w:color w:val="040C28"/>
          <w:sz w:val="24"/>
          <w:szCs w:val="24"/>
          <w:shd w:val="clear" w:color="auto" w:fill="FFFFFF"/>
        </w:rPr>
        <w:t>.</w:t>
      </w:r>
      <w:r w:rsidRPr="009E3A67">
        <w:rPr>
          <w:rFonts w:ascii="Times New Roman" w:eastAsia="Times New Roman" w:hAnsi="Times New Roman" w:cs="Times New Roman"/>
          <w:color w:val="474747"/>
          <w:sz w:val="24"/>
          <w:szCs w:val="24"/>
          <w:shd w:val="clear" w:color="auto" w:fill="FFFFFF"/>
        </w:rPr>
        <w:t> </w:t>
      </w:r>
      <w:r w:rsidRPr="009E3A67">
        <w:rPr>
          <w:rFonts w:ascii="Times New Roman" w:eastAsia="Times New Roman" w:hAnsi="Times New Roman" w:cs="Times New Roman"/>
          <w:color w:val="040C28"/>
          <w:sz w:val="24"/>
          <w:szCs w:val="24"/>
          <w:shd w:val="clear" w:color="auto" w:fill="FFFFFF"/>
        </w:rPr>
        <w:t>1ª Edição.</w:t>
      </w:r>
      <w:r w:rsidRPr="009E3A67">
        <w:rPr>
          <w:rFonts w:ascii="Times New Roman" w:eastAsia="Times New Roman" w:hAnsi="Times New Roman" w:cs="Times New Roman"/>
          <w:color w:val="474747"/>
          <w:sz w:val="24"/>
          <w:szCs w:val="24"/>
          <w:shd w:val="clear" w:color="auto" w:fill="FFFFFF"/>
        </w:rPr>
        <w:t> </w:t>
      </w:r>
      <w:r w:rsidRPr="009E3A67">
        <w:rPr>
          <w:rFonts w:ascii="Times New Roman" w:eastAsia="Times New Roman" w:hAnsi="Times New Roman" w:cs="Times New Roman"/>
          <w:color w:val="040C28"/>
          <w:sz w:val="24"/>
          <w:szCs w:val="24"/>
          <w:shd w:val="clear" w:color="auto" w:fill="FFFFFF"/>
        </w:rPr>
        <w:t>São Paulo: Companhia das Letras, 2018.</w:t>
      </w:r>
    </w:p>
    <w:p w14:paraId="072B8A79" w14:textId="77777777" w:rsidR="003D252C" w:rsidRPr="009E3A67" w:rsidRDefault="003D252C" w:rsidP="009A18B7">
      <w:pPr>
        <w:pStyle w:val="PargrafodaLista"/>
        <w:spacing w:after="0" w:line="240" w:lineRule="auto"/>
        <w:ind w:left="0"/>
        <w:jc w:val="both"/>
        <w:rPr>
          <w:rFonts w:ascii="Times New Roman" w:eastAsia="Times New Roman" w:hAnsi="Times New Roman" w:cs="Times New Roman"/>
          <w:sz w:val="24"/>
          <w:szCs w:val="24"/>
        </w:rPr>
      </w:pPr>
    </w:p>
    <w:p w14:paraId="2C6C06F2"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ROZA, Isis Silva. </w:t>
      </w:r>
      <w:r w:rsidRPr="009E3A67">
        <w:rPr>
          <w:rFonts w:ascii="Times New Roman" w:eastAsia="Arial" w:hAnsi="Times New Roman" w:cs="Times New Roman"/>
          <w:bCs/>
          <w:i/>
          <w:iCs/>
          <w:sz w:val="24"/>
          <w:szCs w:val="24"/>
        </w:rPr>
        <w:t>Trajetórias, práticas e produção de conhecimento de intelectuais negras e negros dos núcleos de estudos afrobrasileiros da região sudeste</w:t>
      </w:r>
      <w:r w:rsidRPr="009E3A67">
        <w:rPr>
          <w:rFonts w:ascii="Times New Roman" w:eastAsia="Arial" w:hAnsi="Times New Roman" w:cs="Times New Roman"/>
          <w:sz w:val="24"/>
          <w:szCs w:val="24"/>
        </w:rPr>
        <w:t xml:space="preserve">, Tese (Doutorado em educação) Universidade Federal de Minas Gerais, 2022. Disponível em: &lt; </w:t>
      </w:r>
      <w:hyperlink r:id="rId109" w:history="1">
        <w:r w:rsidRPr="009E3A67">
          <w:rPr>
            <w:rStyle w:val="Hyperlink"/>
            <w:rFonts w:ascii="Times New Roman" w:eastAsia="Arial" w:hAnsi="Times New Roman" w:cs="Times New Roman"/>
            <w:sz w:val="24"/>
            <w:szCs w:val="24"/>
          </w:rPr>
          <w:t>https://repositorio.ufmg.br/handle/1843/43714</w:t>
        </w:r>
      </w:hyperlink>
      <w:r w:rsidRPr="009E3A67">
        <w:rPr>
          <w:rFonts w:ascii="Times New Roman" w:eastAsia="Arial" w:hAnsi="Times New Roman" w:cs="Times New Roman"/>
          <w:sz w:val="24"/>
          <w:szCs w:val="24"/>
        </w:rPr>
        <w:t xml:space="preserve"> &gt; Acesso em 12/08/2025.</w:t>
      </w:r>
    </w:p>
    <w:p w14:paraId="4753343A" w14:textId="77777777" w:rsidR="003D252C" w:rsidRPr="009E3A67" w:rsidRDefault="003D252C" w:rsidP="009A18B7">
      <w:pPr>
        <w:pStyle w:val="PargrafodaLista"/>
        <w:spacing w:after="0" w:line="240" w:lineRule="auto"/>
        <w:ind w:left="0"/>
        <w:jc w:val="both"/>
        <w:rPr>
          <w:rFonts w:ascii="Times New Roman" w:eastAsia="Arial" w:hAnsi="Times New Roman" w:cs="Times New Roman"/>
          <w:sz w:val="24"/>
          <w:szCs w:val="24"/>
        </w:rPr>
      </w:pPr>
    </w:p>
    <w:p w14:paraId="5E076564"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SOUZA, Ana Lúcia Silva, </w:t>
      </w:r>
      <w:r w:rsidRPr="009E3A67">
        <w:rPr>
          <w:rFonts w:ascii="Times New Roman" w:eastAsia="Arial" w:hAnsi="Times New Roman" w:cs="Times New Roman"/>
          <w:bCs/>
          <w:i/>
          <w:iCs/>
          <w:sz w:val="24"/>
          <w:szCs w:val="24"/>
        </w:rPr>
        <w:t>Letramentos de reexistência: poesia, grafite, música, dança: HIP HOP</w:t>
      </w:r>
      <w:r w:rsidRPr="009E3A67">
        <w:rPr>
          <w:rFonts w:ascii="Times New Roman" w:eastAsia="Arial" w:hAnsi="Times New Roman" w:cs="Times New Roman"/>
          <w:sz w:val="24"/>
          <w:szCs w:val="24"/>
        </w:rPr>
        <w:t xml:space="preserve">. São Paulo: Parábola Editorial, 2011. </w:t>
      </w:r>
    </w:p>
    <w:p w14:paraId="5CC9A2BD" w14:textId="77777777" w:rsidR="003D252C" w:rsidRPr="009E3A67" w:rsidRDefault="003D252C" w:rsidP="009A18B7">
      <w:pPr>
        <w:pStyle w:val="PargrafodaLista"/>
        <w:spacing w:after="0" w:line="240" w:lineRule="auto"/>
        <w:ind w:left="0"/>
        <w:jc w:val="both"/>
        <w:rPr>
          <w:rFonts w:ascii="Times New Roman" w:eastAsia="Arial" w:hAnsi="Times New Roman" w:cs="Times New Roman"/>
          <w:sz w:val="24"/>
          <w:szCs w:val="24"/>
        </w:rPr>
      </w:pPr>
    </w:p>
    <w:p w14:paraId="3E751EB4"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SOUZA, Ana Lúcia Silva, </w:t>
      </w:r>
      <w:r w:rsidRPr="009E3A67">
        <w:rPr>
          <w:rFonts w:ascii="Times New Roman" w:eastAsia="Arial" w:hAnsi="Times New Roman" w:cs="Times New Roman"/>
          <w:bCs/>
          <w:sz w:val="24"/>
          <w:szCs w:val="24"/>
        </w:rPr>
        <w:t>Letramentos de reexistência no Rap do Racionais MC's</w:t>
      </w:r>
      <w:r w:rsidRPr="009E3A67">
        <w:rPr>
          <w:rFonts w:ascii="Times New Roman" w:eastAsia="Arial" w:hAnsi="Times New Roman" w:cs="Times New Roman"/>
          <w:sz w:val="24"/>
          <w:szCs w:val="24"/>
        </w:rPr>
        <w:t>. In</w:t>
      </w:r>
      <w:r w:rsidRPr="009E3A67">
        <w:rPr>
          <w:rFonts w:ascii="Times New Roman" w:eastAsia="Arial" w:hAnsi="Times New Roman" w:cs="Times New Roman"/>
          <w:b/>
          <w:sz w:val="24"/>
          <w:szCs w:val="24"/>
        </w:rPr>
        <w:t>:</w:t>
      </w:r>
      <w:r w:rsidRPr="009E3A67">
        <w:rPr>
          <w:rFonts w:ascii="Times New Roman" w:eastAsia="Arial" w:hAnsi="Times New Roman" w:cs="Times New Roman"/>
          <w:sz w:val="24"/>
          <w:szCs w:val="24"/>
        </w:rPr>
        <w:t xml:space="preserve">Vieira e Santos (org.) </w:t>
      </w:r>
      <w:r w:rsidRPr="009E3A67">
        <w:rPr>
          <w:rFonts w:ascii="Times New Roman" w:eastAsia="Arial" w:hAnsi="Times New Roman" w:cs="Times New Roman"/>
          <w:bCs/>
          <w:i/>
          <w:iCs/>
          <w:sz w:val="24"/>
          <w:szCs w:val="24"/>
        </w:rPr>
        <w:t>Racionais MC's: Entre o Gatilho e a Tempestade</w:t>
      </w:r>
      <w:r w:rsidRPr="009E3A67">
        <w:rPr>
          <w:rFonts w:ascii="Times New Roman" w:eastAsia="Arial" w:hAnsi="Times New Roman" w:cs="Times New Roman"/>
          <w:sz w:val="24"/>
          <w:szCs w:val="24"/>
        </w:rPr>
        <w:t>, São Paulo: Editora Perspectiva. p.144-158, 2023.</w:t>
      </w:r>
    </w:p>
    <w:p w14:paraId="2E27A467" w14:textId="77777777" w:rsidR="003D252C" w:rsidRPr="009E3A67" w:rsidRDefault="003D252C" w:rsidP="009A18B7">
      <w:pPr>
        <w:pStyle w:val="PargrafodaLista"/>
        <w:spacing w:after="0" w:line="240" w:lineRule="auto"/>
        <w:ind w:left="0"/>
        <w:rPr>
          <w:rFonts w:ascii="Times New Roman" w:eastAsia="Arial" w:hAnsi="Times New Roman" w:cs="Times New Roman"/>
          <w:sz w:val="24"/>
          <w:szCs w:val="24"/>
        </w:rPr>
      </w:pPr>
    </w:p>
    <w:p w14:paraId="3A2983C3" w14:textId="77777777" w:rsidR="003D252C" w:rsidRPr="009E3A67" w:rsidRDefault="003D252C" w:rsidP="009A18B7">
      <w:pPr>
        <w:pStyle w:val="PargrafodaLista"/>
        <w:numPr>
          <w:ilvl w:val="0"/>
          <w:numId w:val="11"/>
        </w:numPr>
        <w:spacing w:after="0" w:line="240" w:lineRule="auto"/>
        <w:ind w:left="0" w:firstLine="0"/>
        <w:jc w:val="both"/>
        <w:rPr>
          <w:rFonts w:ascii="Times New Roman" w:eastAsia="Arial" w:hAnsi="Times New Roman" w:cs="Times New Roman"/>
          <w:sz w:val="24"/>
          <w:szCs w:val="24"/>
        </w:rPr>
      </w:pPr>
      <w:r w:rsidRPr="009E3A67">
        <w:rPr>
          <w:rFonts w:ascii="Times New Roman" w:eastAsia="Arial" w:hAnsi="Times New Roman" w:cs="Times New Roman"/>
          <w:sz w:val="24"/>
          <w:szCs w:val="24"/>
        </w:rPr>
        <w:t xml:space="preserve">VIEIRA E SANTOS. Daniela, Jaqueline lima. Efeito colateral do Sistema: a formação do grupo de rap que contrariou as estatísticas. </w:t>
      </w:r>
      <w:r w:rsidRPr="009E3A67">
        <w:rPr>
          <w:rFonts w:ascii="Times New Roman" w:eastAsia="Arial" w:hAnsi="Times New Roman" w:cs="Times New Roman"/>
          <w:bCs/>
          <w:i/>
          <w:iCs/>
          <w:sz w:val="24"/>
          <w:szCs w:val="24"/>
        </w:rPr>
        <w:t>Racionais MC's: entre o gatilho e a tempestade</w:t>
      </w:r>
      <w:r w:rsidRPr="009E3A67">
        <w:rPr>
          <w:rFonts w:ascii="Times New Roman" w:eastAsia="Arial" w:hAnsi="Times New Roman" w:cs="Times New Roman"/>
          <w:sz w:val="24"/>
          <w:szCs w:val="24"/>
        </w:rPr>
        <w:t>, São Paulo: Editora Perspectiva, p.2-30, 2023.</w:t>
      </w:r>
    </w:p>
    <w:p w14:paraId="1CA978EF" w14:textId="77777777" w:rsidR="003D252C" w:rsidRDefault="003D252C" w:rsidP="00265B74">
      <w:pPr>
        <w:rPr>
          <w:rFonts w:ascii="Times New Roman" w:hAnsi="Times New Roman" w:cs="Times New Roman"/>
          <w:b/>
          <w:bCs/>
          <w:sz w:val="24"/>
          <w:szCs w:val="24"/>
        </w:rPr>
      </w:pPr>
    </w:p>
    <w:p w14:paraId="55D28EF1" w14:textId="77777777" w:rsidR="00265B74" w:rsidRPr="009E3A67" w:rsidRDefault="00265B74" w:rsidP="00265B74">
      <w:pPr>
        <w:rPr>
          <w:rFonts w:ascii="Times New Roman" w:hAnsi="Times New Roman" w:cs="Times New Roman"/>
          <w:b/>
          <w:bCs/>
          <w:sz w:val="24"/>
          <w:szCs w:val="24"/>
        </w:rPr>
      </w:pPr>
    </w:p>
    <w:p w14:paraId="6B061080" w14:textId="77777777" w:rsidR="00845ECF" w:rsidRPr="009E3A67" w:rsidRDefault="00845ECF" w:rsidP="00DE61BE">
      <w:pPr>
        <w:jc w:val="center"/>
        <w:rPr>
          <w:rFonts w:ascii="Times New Roman" w:hAnsi="Times New Roman" w:cs="Times New Roman"/>
          <w:b/>
          <w:bCs/>
          <w:sz w:val="24"/>
          <w:szCs w:val="24"/>
        </w:rPr>
      </w:pPr>
    </w:p>
    <w:p w14:paraId="5DFB1A77" w14:textId="3977BB6C" w:rsidR="00DE61BE" w:rsidRPr="009E3A67" w:rsidRDefault="00DE61BE" w:rsidP="00DE61BE">
      <w:pPr>
        <w:jc w:val="center"/>
        <w:rPr>
          <w:rFonts w:ascii="Times New Roman" w:hAnsi="Times New Roman" w:cs="Times New Roman"/>
          <w:b/>
          <w:bCs/>
          <w:sz w:val="24"/>
          <w:szCs w:val="24"/>
        </w:rPr>
      </w:pPr>
      <w:r w:rsidRPr="009E3A67">
        <w:rPr>
          <w:rFonts w:ascii="Times New Roman" w:hAnsi="Times New Roman" w:cs="Times New Roman"/>
          <w:b/>
          <w:bCs/>
          <w:sz w:val="24"/>
          <w:szCs w:val="24"/>
        </w:rPr>
        <w:t>AINDA SOBRE JUNHO DE 2013: UMA OPORTUNIDADE PERDIDA?</w:t>
      </w:r>
    </w:p>
    <w:p w14:paraId="05332FE9" w14:textId="77777777" w:rsidR="00DE61BE" w:rsidRPr="009E3A67" w:rsidRDefault="00DE61BE" w:rsidP="00DE61BE">
      <w:pPr>
        <w:tabs>
          <w:tab w:val="left" w:pos="3150"/>
        </w:tabs>
        <w:spacing w:line="240" w:lineRule="auto"/>
        <w:jc w:val="center"/>
        <w:rPr>
          <w:rFonts w:ascii="Times New Roman" w:hAnsi="Times New Roman" w:cs="Times New Roman"/>
          <w:b/>
          <w:bCs/>
          <w:sz w:val="24"/>
          <w:szCs w:val="24"/>
        </w:rPr>
      </w:pPr>
    </w:p>
    <w:p w14:paraId="17C1A79B" w14:textId="77777777" w:rsidR="00DE61BE" w:rsidRPr="009E3A67" w:rsidRDefault="00DE61BE" w:rsidP="00DE61BE">
      <w:pPr>
        <w:tabs>
          <w:tab w:val="left" w:pos="3150"/>
        </w:tabs>
        <w:spacing w:line="240" w:lineRule="auto"/>
        <w:jc w:val="center"/>
        <w:rPr>
          <w:rFonts w:ascii="Times New Roman" w:hAnsi="Times New Roman" w:cs="Times New Roman"/>
          <w:b/>
          <w:sz w:val="24"/>
          <w:szCs w:val="24"/>
        </w:rPr>
      </w:pPr>
      <w:r w:rsidRPr="009E3A67">
        <w:rPr>
          <w:rFonts w:ascii="Times New Roman" w:hAnsi="Times New Roman" w:cs="Times New Roman"/>
          <w:b/>
          <w:bCs/>
          <w:sz w:val="24"/>
          <w:szCs w:val="24"/>
        </w:rPr>
        <w:t>JUNE 2013: A MISSED OPPORTUNITY?</w:t>
      </w:r>
    </w:p>
    <w:p w14:paraId="7B47B45B"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08DEF91A" w14:textId="77777777" w:rsidR="00DE61BE" w:rsidRPr="009E3A67" w:rsidRDefault="00DE61BE" w:rsidP="00DE61BE">
      <w:pPr>
        <w:tabs>
          <w:tab w:val="left" w:pos="3150"/>
        </w:tabs>
        <w:spacing w:line="240" w:lineRule="auto"/>
        <w:jc w:val="right"/>
        <w:rPr>
          <w:rFonts w:ascii="Times New Roman" w:hAnsi="Times New Roman" w:cs="Times New Roman"/>
          <w:sz w:val="28"/>
          <w:szCs w:val="28"/>
          <w:shd w:val="clear" w:color="auto" w:fill="FFFFFF"/>
        </w:rPr>
      </w:pPr>
      <w:r w:rsidRPr="009E3A67">
        <w:rPr>
          <w:rFonts w:ascii="Times New Roman" w:hAnsi="Times New Roman" w:cs="Times New Roman"/>
          <w:sz w:val="28"/>
          <w:szCs w:val="28"/>
          <w:shd w:val="clear" w:color="auto" w:fill="FFFFFF"/>
        </w:rPr>
        <w:t>Lucas M. Lessa</w:t>
      </w:r>
    </w:p>
    <w:p w14:paraId="6D071F9A" w14:textId="39C6CF32" w:rsidR="00DE61BE" w:rsidRPr="00251B78" w:rsidRDefault="00DE61BE" w:rsidP="006D5A67">
      <w:pPr>
        <w:tabs>
          <w:tab w:val="left" w:pos="3150"/>
        </w:tabs>
        <w:spacing w:after="0" w:line="360" w:lineRule="auto"/>
        <w:ind w:left="2268"/>
        <w:jc w:val="both"/>
        <w:rPr>
          <w:rFonts w:ascii="Times New Roman" w:hAnsi="Times New Roman" w:cs="Times New Roman"/>
          <w:sz w:val="24"/>
          <w:szCs w:val="24"/>
          <w:shd w:val="clear" w:color="auto" w:fill="FFFFFF"/>
        </w:rPr>
      </w:pPr>
      <w:r w:rsidRPr="00251B78">
        <w:rPr>
          <w:rFonts w:ascii="Times New Roman" w:hAnsi="Times New Roman" w:cs="Times New Roman"/>
          <w:sz w:val="24"/>
          <w:szCs w:val="24"/>
          <w:shd w:val="clear" w:color="auto" w:fill="FFFFFF"/>
        </w:rPr>
        <w:t xml:space="preserve">Mestre e Bacharel em Filosofia pela Universidade Federal do Espírito Santo (UFES) e Bacharel em Direito pela Faculdade de Direito de Vitória (FDV). Professor e advogado. CV: </w:t>
      </w:r>
      <w:hyperlink r:id="rId110" w:history="1">
        <w:r w:rsidR="004C209A" w:rsidRPr="00251B78">
          <w:rPr>
            <w:rStyle w:val="Hyperlink"/>
            <w:rFonts w:ascii="Times New Roman" w:hAnsi="Times New Roman" w:cs="Times New Roman"/>
            <w:sz w:val="24"/>
            <w:szCs w:val="24"/>
            <w:shd w:val="clear" w:color="auto" w:fill="FFFFFF"/>
          </w:rPr>
          <w:t>http://lattes.cnpq.br/7243194161524498</w:t>
        </w:r>
      </w:hyperlink>
      <w:r w:rsidR="004C209A" w:rsidRPr="00251B78">
        <w:rPr>
          <w:rFonts w:ascii="Times New Roman" w:hAnsi="Times New Roman" w:cs="Times New Roman"/>
          <w:sz w:val="24"/>
          <w:szCs w:val="24"/>
          <w:shd w:val="clear" w:color="auto" w:fill="FFFFFF"/>
        </w:rPr>
        <w:t xml:space="preserve"> </w:t>
      </w:r>
    </w:p>
    <w:p w14:paraId="455449E3"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4DA35584"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0E1490CF"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4603FF3C"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226376D1"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5CD1F77B"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7E10156D"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4A12FE71"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55B81B07"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12F1BD8D"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5F01942D"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1627DF4A" w14:textId="77777777" w:rsidR="0011799D" w:rsidRPr="009E3A67" w:rsidRDefault="0011799D" w:rsidP="00DA15ED">
      <w:pPr>
        <w:tabs>
          <w:tab w:val="left" w:pos="3150"/>
        </w:tabs>
        <w:spacing w:line="240" w:lineRule="auto"/>
        <w:jc w:val="center"/>
        <w:rPr>
          <w:rFonts w:ascii="Times New Roman" w:hAnsi="Times New Roman" w:cs="Times New Roman"/>
          <w:b/>
          <w:sz w:val="24"/>
          <w:szCs w:val="24"/>
        </w:rPr>
      </w:pPr>
    </w:p>
    <w:p w14:paraId="330A98CF" w14:textId="77777777" w:rsidR="0011799D" w:rsidRPr="009E3A67" w:rsidRDefault="0011799D" w:rsidP="00DA15ED">
      <w:pPr>
        <w:tabs>
          <w:tab w:val="left" w:pos="3150"/>
        </w:tabs>
        <w:spacing w:line="240" w:lineRule="auto"/>
        <w:jc w:val="center"/>
        <w:rPr>
          <w:rFonts w:ascii="Times New Roman" w:hAnsi="Times New Roman" w:cs="Times New Roman"/>
          <w:b/>
          <w:sz w:val="24"/>
          <w:szCs w:val="24"/>
        </w:rPr>
      </w:pPr>
    </w:p>
    <w:p w14:paraId="46BC392E" w14:textId="77777777" w:rsidR="0011799D" w:rsidRPr="009E3A67" w:rsidRDefault="0011799D" w:rsidP="00DA15ED">
      <w:pPr>
        <w:tabs>
          <w:tab w:val="left" w:pos="3150"/>
        </w:tabs>
        <w:spacing w:line="240" w:lineRule="auto"/>
        <w:jc w:val="center"/>
        <w:rPr>
          <w:rFonts w:ascii="Times New Roman" w:hAnsi="Times New Roman" w:cs="Times New Roman"/>
          <w:b/>
          <w:sz w:val="24"/>
          <w:szCs w:val="24"/>
        </w:rPr>
      </w:pPr>
    </w:p>
    <w:p w14:paraId="67E3C86F" w14:textId="77777777" w:rsidR="0011799D" w:rsidRPr="009E3A67" w:rsidRDefault="0011799D" w:rsidP="00DA15ED">
      <w:pPr>
        <w:tabs>
          <w:tab w:val="left" w:pos="3150"/>
        </w:tabs>
        <w:spacing w:line="240" w:lineRule="auto"/>
        <w:jc w:val="center"/>
        <w:rPr>
          <w:rFonts w:ascii="Times New Roman" w:hAnsi="Times New Roman" w:cs="Times New Roman"/>
          <w:b/>
          <w:sz w:val="24"/>
          <w:szCs w:val="24"/>
        </w:rPr>
      </w:pPr>
    </w:p>
    <w:p w14:paraId="4C7CF0BA" w14:textId="77777777" w:rsidR="0011799D" w:rsidRPr="009E3A67" w:rsidRDefault="0011799D" w:rsidP="00DA15ED">
      <w:pPr>
        <w:tabs>
          <w:tab w:val="left" w:pos="3150"/>
        </w:tabs>
        <w:spacing w:line="240" w:lineRule="auto"/>
        <w:jc w:val="center"/>
        <w:rPr>
          <w:rFonts w:ascii="Times New Roman" w:hAnsi="Times New Roman" w:cs="Times New Roman"/>
          <w:b/>
          <w:sz w:val="24"/>
          <w:szCs w:val="24"/>
        </w:rPr>
      </w:pPr>
    </w:p>
    <w:p w14:paraId="6107C2E8" w14:textId="77777777" w:rsidR="0011799D" w:rsidRPr="009E3A67" w:rsidRDefault="0011799D" w:rsidP="00DA15ED">
      <w:pPr>
        <w:tabs>
          <w:tab w:val="left" w:pos="3150"/>
        </w:tabs>
        <w:spacing w:line="240" w:lineRule="auto"/>
        <w:jc w:val="center"/>
        <w:rPr>
          <w:rFonts w:ascii="Times New Roman" w:hAnsi="Times New Roman" w:cs="Times New Roman"/>
          <w:b/>
          <w:sz w:val="24"/>
          <w:szCs w:val="24"/>
        </w:rPr>
      </w:pPr>
    </w:p>
    <w:p w14:paraId="389B3B76" w14:textId="77777777" w:rsidR="0011799D" w:rsidRPr="009E3A67" w:rsidRDefault="0011799D" w:rsidP="00DA15ED">
      <w:pPr>
        <w:tabs>
          <w:tab w:val="left" w:pos="3150"/>
        </w:tabs>
        <w:spacing w:line="240" w:lineRule="auto"/>
        <w:jc w:val="center"/>
        <w:rPr>
          <w:rFonts w:ascii="Times New Roman" w:hAnsi="Times New Roman" w:cs="Times New Roman"/>
          <w:b/>
          <w:sz w:val="24"/>
          <w:szCs w:val="24"/>
        </w:rPr>
      </w:pPr>
    </w:p>
    <w:p w14:paraId="1038B3EA" w14:textId="77777777" w:rsidR="0011799D" w:rsidRPr="009E3A67" w:rsidRDefault="0011799D" w:rsidP="00DA15ED">
      <w:pPr>
        <w:tabs>
          <w:tab w:val="left" w:pos="3150"/>
        </w:tabs>
        <w:spacing w:line="240" w:lineRule="auto"/>
        <w:jc w:val="center"/>
        <w:rPr>
          <w:rFonts w:ascii="Times New Roman" w:hAnsi="Times New Roman" w:cs="Times New Roman"/>
          <w:b/>
          <w:sz w:val="24"/>
          <w:szCs w:val="24"/>
        </w:rPr>
      </w:pPr>
    </w:p>
    <w:p w14:paraId="5A9E66E6"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6547846A" w14:textId="77777777" w:rsidR="00836BFF" w:rsidRDefault="00836BFF" w:rsidP="00785244">
      <w:pPr>
        <w:jc w:val="center"/>
        <w:rPr>
          <w:rFonts w:ascii="Times New Roman" w:hAnsi="Times New Roman" w:cs="Times New Roman"/>
          <w:b/>
          <w:bCs/>
          <w:sz w:val="24"/>
          <w:szCs w:val="24"/>
        </w:rPr>
      </w:pPr>
    </w:p>
    <w:p w14:paraId="46051019" w14:textId="7D168DB6" w:rsidR="00785244" w:rsidRPr="009E3A67" w:rsidRDefault="00785244" w:rsidP="00785244">
      <w:pPr>
        <w:jc w:val="center"/>
        <w:rPr>
          <w:rFonts w:ascii="Times New Roman" w:hAnsi="Times New Roman" w:cs="Times New Roman"/>
          <w:b/>
          <w:bCs/>
          <w:sz w:val="24"/>
          <w:szCs w:val="24"/>
        </w:rPr>
      </w:pPr>
      <w:r w:rsidRPr="009E3A67">
        <w:rPr>
          <w:rFonts w:ascii="Times New Roman" w:hAnsi="Times New Roman" w:cs="Times New Roman"/>
          <w:b/>
          <w:bCs/>
          <w:sz w:val="24"/>
          <w:szCs w:val="24"/>
        </w:rPr>
        <w:t>RESUMO</w:t>
      </w:r>
    </w:p>
    <w:p w14:paraId="4B476267" w14:textId="77777777" w:rsidR="00785244" w:rsidRPr="009E3A67" w:rsidRDefault="00785244" w:rsidP="00785244">
      <w:pPr>
        <w:spacing w:line="276"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As insurreições de Junho de 2013 dividem opinião na esquerda brasileira. Se as visões usuais do progressismo brasileiro costumam defenestrar as insurgências de 2013 – teoria do ovo da serpente e guerra híbrida –, procura-se compreender junho como uma oportunidade perdida pela esquerda brasileira – sobretudo a esquerda institucional – de realizar reformas estruturais e emancipatórias no país, a contar da energia insurrecional popular dispersa nas ruas. Trata-se de oferecer leitura alternativa sobre os eventos, pelo cotejo de fontes bibliográficas. A tentativa é afastar da interpretação sobre os eventos certa vulgada teleológica, a qual toma os reveses políticos do campo progressista brasileiro na última década como consequências diretas dos acontecimentos de junho de 2013.  </w:t>
      </w:r>
    </w:p>
    <w:p w14:paraId="0C96F9AA" w14:textId="77777777" w:rsidR="00785244" w:rsidRPr="009E3A67" w:rsidRDefault="00785244" w:rsidP="00785244">
      <w:pPr>
        <w:rPr>
          <w:rFonts w:ascii="Times New Roman" w:hAnsi="Times New Roman" w:cs="Times New Roman"/>
          <w:sz w:val="24"/>
          <w:szCs w:val="24"/>
        </w:rPr>
      </w:pPr>
    </w:p>
    <w:p w14:paraId="16F4A5FC" w14:textId="77777777" w:rsidR="00785244" w:rsidRPr="009E3A67" w:rsidRDefault="00785244" w:rsidP="00785244">
      <w:pPr>
        <w:rPr>
          <w:rFonts w:ascii="Times New Roman" w:hAnsi="Times New Roman" w:cs="Times New Roman"/>
          <w:sz w:val="24"/>
          <w:szCs w:val="24"/>
        </w:rPr>
      </w:pPr>
      <w:r w:rsidRPr="009E3A67">
        <w:rPr>
          <w:rFonts w:ascii="Times New Roman" w:hAnsi="Times New Roman" w:cs="Times New Roman"/>
          <w:b/>
          <w:bCs/>
          <w:sz w:val="24"/>
          <w:szCs w:val="24"/>
        </w:rPr>
        <w:t>PALAVRAS-CHAVE</w:t>
      </w:r>
    </w:p>
    <w:p w14:paraId="42906301" w14:textId="77777777" w:rsidR="00785244" w:rsidRPr="009E3A67" w:rsidRDefault="00785244" w:rsidP="00785244">
      <w:pPr>
        <w:rPr>
          <w:rFonts w:ascii="Times New Roman" w:hAnsi="Times New Roman" w:cs="Times New Roman"/>
          <w:sz w:val="24"/>
          <w:szCs w:val="24"/>
        </w:rPr>
      </w:pPr>
      <w:r w:rsidRPr="009E3A67">
        <w:rPr>
          <w:rFonts w:ascii="Times New Roman" w:hAnsi="Times New Roman" w:cs="Times New Roman"/>
          <w:sz w:val="24"/>
          <w:szCs w:val="24"/>
        </w:rPr>
        <w:t>Insurgências de Junho de 2013; esquerda brasileira; teleologia; insurreições populares; teoria crítica.</w:t>
      </w:r>
    </w:p>
    <w:p w14:paraId="3832E884" w14:textId="77777777" w:rsidR="00785244" w:rsidRPr="009E3A67" w:rsidRDefault="00785244" w:rsidP="00785244">
      <w:pPr>
        <w:rPr>
          <w:rFonts w:ascii="Times New Roman" w:hAnsi="Times New Roman" w:cs="Times New Roman"/>
          <w:sz w:val="24"/>
          <w:szCs w:val="24"/>
        </w:rPr>
      </w:pPr>
    </w:p>
    <w:p w14:paraId="140EF0EA" w14:textId="77777777" w:rsidR="00785244" w:rsidRPr="009E3A67" w:rsidRDefault="00785244" w:rsidP="00785244">
      <w:pPr>
        <w:jc w:val="center"/>
        <w:rPr>
          <w:rFonts w:ascii="Times New Roman" w:hAnsi="Times New Roman" w:cs="Times New Roman"/>
          <w:b/>
          <w:bCs/>
          <w:sz w:val="24"/>
          <w:szCs w:val="24"/>
          <w:lang w:val="en-US"/>
        </w:rPr>
      </w:pPr>
      <w:r w:rsidRPr="009E3A67">
        <w:rPr>
          <w:rFonts w:ascii="Times New Roman" w:hAnsi="Times New Roman" w:cs="Times New Roman"/>
          <w:b/>
          <w:bCs/>
          <w:sz w:val="24"/>
          <w:szCs w:val="24"/>
          <w:lang w:val="en-US"/>
        </w:rPr>
        <w:t>ABSTRACT</w:t>
      </w:r>
    </w:p>
    <w:p w14:paraId="1C3CF622" w14:textId="77777777" w:rsidR="00785244" w:rsidRPr="009E3A67" w:rsidRDefault="00785244" w:rsidP="00785244">
      <w:pPr>
        <w:spacing w:line="276" w:lineRule="auto"/>
        <w:jc w:val="both"/>
        <w:rPr>
          <w:rFonts w:ascii="Times New Roman" w:hAnsi="Times New Roman" w:cs="Times New Roman"/>
          <w:sz w:val="24"/>
          <w:szCs w:val="24"/>
          <w:lang w:val="en-US"/>
        </w:rPr>
      </w:pPr>
      <w:r w:rsidRPr="009E3A67">
        <w:rPr>
          <w:rFonts w:ascii="Times New Roman" w:hAnsi="Times New Roman" w:cs="Times New Roman"/>
          <w:sz w:val="24"/>
          <w:szCs w:val="24"/>
          <w:lang w:val="en-US"/>
        </w:rPr>
        <w:t>The June 2013 uprisings divide opinion within the Brazilian left. While the usual perspectives of Brazilian progressivism often disparage the 2013 insurgencies—referring to them as the “serpent's egg theory” and “hybrid warfare”—there is an effort to understand June as a missed opportunity for the Brazilian left, particularly the institutional left, to implement structural and emancipatory reforms in the country, leveraging the dispersed popular insurgent energy on the streets. This work aims to provide an alternative reading of the events by comparing bibliographic sources. The attempt is to distance the interpretation of the events from a certain teleological vulgarization, which considers the political setbacks of the Brazilian progressive field in the last decade as direct consequences of the events of June 2013.</w:t>
      </w:r>
    </w:p>
    <w:p w14:paraId="69BB47DF" w14:textId="77777777" w:rsidR="00785244" w:rsidRPr="009E3A67" w:rsidRDefault="00785244" w:rsidP="00785244">
      <w:pPr>
        <w:rPr>
          <w:rFonts w:ascii="Times New Roman" w:hAnsi="Times New Roman" w:cs="Times New Roman"/>
          <w:sz w:val="24"/>
          <w:szCs w:val="24"/>
          <w:lang w:val="en-US"/>
        </w:rPr>
      </w:pPr>
    </w:p>
    <w:p w14:paraId="50C127D4" w14:textId="77777777" w:rsidR="00785244" w:rsidRPr="009E3A67" w:rsidRDefault="00785244" w:rsidP="00785244">
      <w:pPr>
        <w:rPr>
          <w:rFonts w:ascii="Times New Roman" w:hAnsi="Times New Roman" w:cs="Times New Roman"/>
          <w:b/>
          <w:bCs/>
          <w:sz w:val="24"/>
          <w:szCs w:val="24"/>
          <w:lang w:val="en-US"/>
        </w:rPr>
      </w:pPr>
      <w:r w:rsidRPr="009E3A67">
        <w:rPr>
          <w:rFonts w:ascii="Times New Roman" w:hAnsi="Times New Roman" w:cs="Times New Roman"/>
          <w:b/>
          <w:bCs/>
          <w:sz w:val="24"/>
          <w:szCs w:val="24"/>
          <w:lang w:val="en-US"/>
        </w:rPr>
        <w:t>KEYWORDS</w:t>
      </w:r>
    </w:p>
    <w:p w14:paraId="1D21C67C" w14:textId="77777777" w:rsidR="00785244" w:rsidRPr="009E3A67" w:rsidRDefault="00785244" w:rsidP="00785244">
      <w:pPr>
        <w:rPr>
          <w:rFonts w:ascii="Times New Roman" w:hAnsi="Times New Roman" w:cs="Times New Roman"/>
          <w:b/>
          <w:bCs/>
          <w:sz w:val="24"/>
          <w:szCs w:val="24"/>
          <w:lang w:val="en-US"/>
        </w:rPr>
      </w:pPr>
      <w:r w:rsidRPr="009E3A67">
        <w:rPr>
          <w:rFonts w:ascii="Times New Roman" w:hAnsi="Times New Roman" w:cs="Times New Roman"/>
          <w:sz w:val="24"/>
          <w:szCs w:val="24"/>
          <w:lang w:val="en-US"/>
        </w:rPr>
        <w:t>June 2013 insurgencies; Brazilian left; teleology; popular uprisings; critical theory.</w:t>
      </w:r>
    </w:p>
    <w:p w14:paraId="33C84E0D" w14:textId="77777777" w:rsidR="00785244" w:rsidRPr="009E3A67" w:rsidRDefault="00785244" w:rsidP="00785244">
      <w:pPr>
        <w:rPr>
          <w:rFonts w:ascii="Times New Roman" w:hAnsi="Times New Roman" w:cs="Times New Roman"/>
          <w:sz w:val="24"/>
          <w:szCs w:val="24"/>
          <w:lang w:val="en-US"/>
        </w:rPr>
      </w:pPr>
      <w:r w:rsidRPr="009E3A67">
        <w:rPr>
          <w:rFonts w:ascii="Times New Roman" w:hAnsi="Times New Roman" w:cs="Times New Roman"/>
          <w:sz w:val="24"/>
          <w:szCs w:val="24"/>
          <w:lang w:val="en-US"/>
        </w:rPr>
        <w:br w:type="page"/>
      </w:r>
    </w:p>
    <w:p w14:paraId="26671BBF" w14:textId="77777777" w:rsidR="00785244" w:rsidRPr="009E3A67" w:rsidRDefault="00785244" w:rsidP="00785244">
      <w:pPr>
        <w:jc w:val="center"/>
        <w:rPr>
          <w:rFonts w:ascii="Times New Roman" w:hAnsi="Times New Roman" w:cs="Times New Roman"/>
          <w:b/>
          <w:bCs/>
          <w:sz w:val="24"/>
          <w:szCs w:val="24"/>
        </w:rPr>
      </w:pPr>
      <w:r w:rsidRPr="009E3A67">
        <w:rPr>
          <w:rFonts w:ascii="Times New Roman" w:hAnsi="Times New Roman" w:cs="Times New Roman"/>
          <w:b/>
          <w:bCs/>
          <w:sz w:val="24"/>
          <w:szCs w:val="24"/>
        </w:rPr>
        <w:t>AINDA SOBRE JUNHO DE 2013: UMA OPORTUNIDADE PERDIDA?</w:t>
      </w:r>
    </w:p>
    <w:p w14:paraId="07BB5BE4" w14:textId="214097AE" w:rsidR="00785244" w:rsidRPr="009E3A67" w:rsidRDefault="00785244" w:rsidP="00785244">
      <w:pPr>
        <w:rPr>
          <w:rFonts w:ascii="Times New Roman" w:hAnsi="Times New Roman" w:cs="Times New Roman"/>
          <w:b/>
          <w:sz w:val="24"/>
          <w:szCs w:val="24"/>
        </w:rPr>
      </w:pPr>
      <w:r w:rsidRPr="009E3A67">
        <w:rPr>
          <w:rFonts w:ascii="Times New Roman" w:hAnsi="Times New Roman" w:cs="Times New Roman"/>
          <w:b/>
          <w:bCs/>
          <w:sz w:val="24"/>
          <w:szCs w:val="24"/>
        </w:rPr>
        <w:t>1. INTRODUÇÃO</w:t>
      </w:r>
    </w:p>
    <w:p w14:paraId="39C0E5F6" w14:textId="77777777" w:rsidR="00785244" w:rsidRPr="009E3A67" w:rsidRDefault="00785244" w:rsidP="00845ECF">
      <w:pPr>
        <w:spacing w:after="0" w:line="360" w:lineRule="auto"/>
        <w:ind w:firstLine="709"/>
        <w:jc w:val="both"/>
        <w:rPr>
          <w:rFonts w:ascii="Times New Roman" w:hAnsi="Times New Roman" w:cs="Times New Roman"/>
          <w:sz w:val="24"/>
          <w:szCs w:val="24"/>
        </w:rPr>
      </w:pPr>
      <w:r w:rsidRPr="009E3A67">
        <w:rPr>
          <w:rFonts w:ascii="Times New Roman" w:hAnsi="Times New Roman" w:cs="Times New Roman"/>
          <w:sz w:val="24"/>
          <w:szCs w:val="24"/>
        </w:rPr>
        <w:t>Transcorridos mais de dez anos das insurgências de junho de 2013 no Brasil, inúmeras vertentes teóricas se apresentaram no debate público e acadêmico, no intuito de interpretar o que se passara naqueles dias decisivos da história brasileira.</w:t>
      </w:r>
      <w:r w:rsidRPr="009E3A67">
        <w:rPr>
          <w:rStyle w:val="Refdenotaderodap"/>
          <w:rFonts w:ascii="Times New Roman" w:hAnsi="Times New Roman" w:cs="Times New Roman"/>
          <w:sz w:val="24"/>
          <w:szCs w:val="24"/>
        </w:rPr>
        <w:footnoteReference w:id="86"/>
      </w:r>
      <w:r w:rsidRPr="009E3A67">
        <w:rPr>
          <w:rFonts w:ascii="Times New Roman" w:hAnsi="Times New Roman" w:cs="Times New Roman"/>
          <w:sz w:val="24"/>
          <w:szCs w:val="24"/>
        </w:rPr>
        <w:t xml:space="preserve"> Duas delas têm obtido reverberação nas discussões em veículos de imprensa e em seminários interdisciplinares dentro e fora das instituições educacionais. </w:t>
      </w:r>
    </w:p>
    <w:p w14:paraId="3842E7AF" w14:textId="4EA9747D" w:rsidR="00785244" w:rsidRPr="009E3A67" w:rsidRDefault="00785244" w:rsidP="00845ECF">
      <w:pPr>
        <w:spacing w:after="0" w:line="360" w:lineRule="auto"/>
        <w:ind w:firstLine="709"/>
        <w:jc w:val="both"/>
        <w:rPr>
          <w:rFonts w:ascii="Times New Roman" w:hAnsi="Times New Roman" w:cs="Times New Roman"/>
          <w:sz w:val="24"/>
          <w:szCs w:val="24"/>
        </w:rPr>
      </w:pPr>
      <w:r w:rsidRPr="009E3A67">
        <w:rPr>
          <w:rFonts w:ascii="Times New Roman" w:hAnsi="Times New Roman" w:cs="Times New Roman"/>
          <w:sz w:val="24"/>
          <w:szCs w:val="24"/>
        </w:rPr>
        <w:t>Uma corrente interpretativa bastante arraigada em alguns circuitos intelectuais identifica em junho de 2013 a origem da ascensão da extrema direita no país. É como se junho fosse o princípio de todos os reveses do campo progressista brasileiro. Diz-se que em junho se encontrara o ovo da serpente, isto é, teria se iniciado “[…] o crescimento de grupos que iriam desaguar na pré-candidatura direitista de Jair Bolsonaro à Presidência da República em 2015” (</w:t>
      </w:r>
      <w:r w:rsidR="00653723" w:rsidRPr="009E3A67">
        <w:rPr>
          <w:rFonts w:ascii="Times New Roman" w:hAnsi="Times New Roman" w:cs="Times New Roman"/>
          <w:sz w:val="24"/>
          <w:szCs w:val="24"/>
        </w:rPr>
        <w:t>SINGER</w:t>
      </w:r>
      <w:r w:rsidRPr="009E3A67">
        <w:rPr>
          <w:rFonts w:ascii="Times New Roman" w:hAnsi="Times New Roman" w:cs="Times New Roman"/>
          <w:sz w:val="24"/>
          <w:szCs w:val="24"/>
        </w:rPr>
        <w:t>, 2018</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 119).</w:t>
      </w:r>
    </w:p>
    <w:p w14:paraId="79BEEBD4" w14:textId="77777777" w:rsidR="00785244" w:rsidRPr="009E3A67" w:rsidRDefault="00785244" w:rsidP="000442B7">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Essa visão sobre junho enquanto pré-história para o soerguimento da extrema direita possui adeptos tanto na esquerda institucional – políticos e intelectuais ligados ao partido de esquerda que esteve na chefia do Executivo federal entre janeiro de 2003 e agosto de 2016 – quanto em parcelas de determinada direita moderada, que se distanciaram da virulência das direitas extremadas. Compreende-se junho como aquilo que desembocaria no processo político do impeachment da Presidenta Dilma Rousseff, apeando do poder constituído um governo de esquerda democraticamente eleito, o qual promovera políticas públicas de mitigação da pobreza e da desigualdade social. E, de algum modo, quem fora às ruas naquelas semanas de 2013 para, p.ex., reivindicar a revogação do aumento na tarifa dos transportes coletivos terminou por servir aos desígnios da extrema direita nascente. </w:t>
      </w:r>
    </w:p>
    <w:p w14:paraId="2C6A1A41" w14:textId="77777777" w:rsidR="00785244" w:rsidRPr="009E3A67" w:rsidRDefault="00785244" w:rsidP="000442B7">
      <w:pPr>
        <w:spacing w:after="0" w:line="360" w:lineRule="auto"/>
        <w:ind w:firstLine="709"/>
        <w:jc w:val="both"/>
        <w:rPr>
          <w:rFonts w:ascii="Times New Roman" w:hAnsi="Times New Roman" w:cs="Times New Roman"/>
          <w:sz w:val="24"/>
          <w:szCs w:val="24"/>
        </w:rPr>
      </w:pPr>
      <w:r w:rsidRPr="009E3A67">
        <w:rPr>
          <w:rFonts w:ascii="Times New Roman" w:hAnsi="Times New Roman" w:cs="Times New Roman"/>
          <w:sz w:val="24"/>
          <w:szCs w:val="24"/>
        </w:rPr>
        <w:t>A versão do ovo da serpente inscreve 2013 como produto de uma onda conservadora começada ali – reativa, que se pôs contrária à diminuição das desigualdades históricas permitidas pelas políticas sociais dos governos petistas. Haveria, assim, setores das classes sociais médias e abastadas que se rebelariam contra a relativa melhora das condições de vida dos mais pobres. O período que se iniciara em 2003 pode ser, então, classificado como de um “reformismo fraco”</w:t>
      </w:r>
      <w:r w:rsidRPr="009E3A67">
        <w:rPr>
          <w:rStyle w:val="Refdenotaderodap"/>
          <w:rFonts w:ascii="Times New Roman" w:hAnsi="Times New Roman" w:cs="Times New Roman"/>
          <w:sz w:val="24"/>
          <w:szCs w:val="24"/>
        </w:rPr>
        <w:footnoteReference w:id="87"/>
      </w:r>
      <w:r w:rsidRPr="009E3A67">
        <w:rPr>
          <w:rFonts w:ascii="Times New Roman" w:hAnsi="Times New Roman" w:cs="Times New Roman"/>
          <w:sz w:val="24"/>
          <w:szCs w:val="24"/>
        </w:rPr>
        <w:t xml:space="preserve">, no qual as políticas de inclusão (transferência de renda às famílias, segurança alimentar, expansão do crédito, valorização do salário-mínimo, aumento do investimento público, ações afirmativas etc.), embora não tivessem abalado a estratificação social brasileira, cuidaram de reduzir alguns dos problemas sócio-históricos mais urgentes. </w:t>
      </w:r>
    </w:p>
    <w:p w14:paraId="7D7DFB5D" w14:textId="2471BCD7" w:rsidR="00785244" w:rsidRPr="009E3A67" w:rsidRDefault="00785244" w:rsidP="00845ECF">
      <w:pPr>
        <w:spacing w:after="0" w:line="360" w:lineRule="auto"/>
        <w:ind w:firstLine="709"/>
        <w:jc w:val="both"/>
        <w:rPr>
          <w:rFonts w:ascii="Times New Roman" w:hAnsi="Times New Roman" w:cs="Times New Roman"/>
          <w:sz w:val="24"/>
          <w:szCs w:val="24"/>
        </w:rPr>
      </w:pPr>
      <w:r w:rsidRPr="009E3A67">
        <w:rPr>
          <w:rFonts w:ascii="Times New Roman" w:hAnsi="Times New Roman" w:cs="Times New Roman"/>
          <w:sz w:val="24"/>
          <w:szCs w:val="24"/>
        </w:rPr>
        <w:t>Esse reformismo, caracterizado por uma lógica de concessões (e não pelo confronto de classes), teria se mostrado eficaz no combate à desigualdade no Brasil em um ritmo similar ao da implementação do Estado de bem-estar em moldes ingleses. No entanto, para aqueles que compartilham da versão do ovo da serpente, o modelo de governabilidade e condução econômica dessa era de ouro entrara em curto-circuito já em 2013, de tal maneira que acontecera um “[…] deslocamento da burguesia industrial, que aderiu à frente única burguesa contra o ensaio desenvolvimentista” (</w:t>
      </w:r>
      <w:r w:rsidR="00951F4C" w:rsidRPr="009E3A67">
        <w:rPr>
          <w:rFonts w:ascii="Times New Roman" w:hAnsi="Times New Roman" w:cs="Times New Roman"/>
          <w:sz w:val="24"/>
          <w:szCs w:val="24"/>
        </w:rPr>
        <w:t>SINGER</w:t>
      </w:r>
      <w:r w:rsidRPr="009E3A67">
        <w:rPr>
          <w:rFonts w:ascii="Times New Roman" w:hAnsi="Times New Roman" w:cs="Times New Roman"/>
          <w:sz w:val="24"/>
          <w:szCs w:val="24"/>
        </w:rPr>
        <w:t>, 2015</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65), típico dos mandatos dos Presidentes Lula e Dilma. </w:t>
      </w:r>
    </w:p>
    <w:p w14:paraId="65211120" w14:textId="77777777" w:rsidR="00785244" w:rsidRPr="009E3A67" w:rsidRDefault="00785244" w:rsidP="000442B7">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O acentuado intervencionismo estatal na gestão econômica no Governo Lula II (2007-2010) produzira melhorias nos índices de medição de desigualdades, ocasionando conquistas reais às classes subalternas. Essa intervenção, própria do </w:t>
      </w:r>
      <w:r w:rsidRPr="009E3A67">
        <w:rPr>
          <w:rFonts w:ascii="Times New Roman" w:hAnsi="Times New Roman" w:cs="Times New Roman"/>
          <w:i/>
          <w:iCs/>
          <w:sz w:val="24"/>
          <w:szCs w:val="24"/>
        </w:rPr>
        <w:t>lulismo</w:t>
      </w:r>
      <w:r w:rsidRPr="009E3A67">
        <w:rPr>
          <w:rStyle w:val="Refdenotaderodap"/>
          <w:rFonts w:ascii="Times New Roman" w:hAnsi="Times New Roman" w:cs="Times New Roman"/>
          <w:sz w:val="24"/>
          <w:szCs w:val="24"/>
        </w:rPr>
        <w:footnoteReference w:id="88"/>
      </w:r>
      <w:r w:rsidRPr="009E3A67">
        <w:rPr>
          <w:rFonts w:ascii="Times New Roman" w:hAnsi="Times New Roman" w:cs="Times New Roman"/>
          <w:sz w:val="24"/>
          <w:szCs w:val="24"/>
        </w:rPr>
        <w:t xml:space="preserve">, fora aprofundada nos primeiros momentos do Governo Dilma I (2011-2014), fato que teria resultado numa desagregação da aliança entre diversos ramos do rentismo e da atividade produtiva que marcara aqueles anos. A tentativa de redução por parte do governo da taxa de juros em meados de 2012 como condição para garantir o crescimento econômico gerara reações contundentes nos centros das decisões monetárias. Na prática, o Banco Central (BC) aumentara a taxa Selic no primeiro semestre de 2013, enfraquecendo a cruzada desenvolvimentista intencionada pelo Poder Executivo federal. </w:t>
      </w:r>
    </w:p>
    <w:p w14:paraId="409AD9A8" w14:textId="08EC36A9" w:rsidR="00785244" w:rsidRPr="009E3A67" w:rsidRDefault="00785244" w:rsidP="000442B7">
      <w:pPr>
        <w:spacing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Aponta-se, portanto, uma “[…] dissolução da coalizão produtivista e a formação da frente única burguesa antidesenvolvimentista” (</w:t>
      </w:r>
      <w:r w:rsidR="00653723" w:rsidRPr="009E3A67">
        <w:rPr>
          <w:rFonts w:ascii="Times New Roman" w:hAnsi="Times New Roman" w:cs="Times New Roman"/>
          <w:sz w:val="24"/>
          <w:szCs w:val="24"/>
        </w:rPr>
        <w:t>SINGER</w:t>
      </w:r>
      <w:r w:rsidRPr="009E3A67">
        <w:rPr>
          <w:rFonts w:ascii="Times New Roman" w:hAnsi="Times New Roman" w:cs="Times New Roman"/>
          <w:sz w:val="24"/>
          <w:szCs w:val="24"/>
        </w:rPr>
        <w:t>, 2015</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 68). Os esforços de aceleração da matriz econômica intervencionista e o ativismo estatal tornaram intrincadas as relações com grupos tradicionais da elite econômica brasileira. Para alguns, constata-se aí um ponto de inflexão no amálgama entre mercado financeiro, setores produtivos, governo federal, classe política e frações da classe trabalhadora – ajuntamento que representou um acordo de cima para baixo nos centros de decisão político-econômica. </w:t>
      </w:r>
    </w:p>
    <w:p w14:paraId="0F9CE47E" w14:textId="3610BCCE" w:rsidR="00785244" w:rsidRPr="009E3A67" w:rsidRDefault="00785244" w:rsidP="000442B7">
      <w:pPr>
        <w:pStyle w:val="SemEspaamento"/>
        <w:spacing w:after="240"/>
        <w:ind w:left="2268"/>
        <w:jc w:val="both"/>
        <w:rPr>
          <w:rFonts w:ascii="Times New Roman" w:hAnsi="Times New Roman" w:cs="Times New Roman"/>
          <w:sz w:val="20"/>
          <w:szCs w:val="20"/>
        </w:rPr>
      </w:pPr>
      <w:r w:rsidRPr="009E3A67">
        <w:rPr>
          <w:rFonts w:ascii="Times New Roman" w:hAnsi="Times New Roman" w:cs="Times New Roman"/>
          <w:sz w:val="20"/>
          <w:szCs w:val="20"/>
        </w:rPr>
        <w:t>Perdido o ponto de apoio que lhe permitia andar, a proposta desenvolvimentista para. Procura preservar medidas de estímulo industrial que não dependiam da Selic, mas sabe que pouco conseguirá avançar, remando contra a correnteza dos juros. Seguem-se dois anos penosos, em que o cerco a favor de reversão neoliberal completa ganha cada vez maior adesão na burguesia, na classe média tradicional, em setores da nova classe trabalhadora e até entre personalidades influentes sobre Dilma (</w:t>
      </w:r>
      <w:r w:rsidR="00653723" w:rsidRPr="009E3A67">
        <w:rPr>
          <w:rFonts w:ascii="Times New Roman" w:hAnsi="Times New Roman" w:cs="Times New Roman"/>
          <w:sz w:val="20"/>
          <w:szCs w:val="20"/>
        </w:rPr>
        <w:t>SINGER</w:t>
      </w:r>
      <w:r w:rsidRPr="009E3A67">
        <w:rPr>
          <w:rFonts w:ascii="Times New Roman" w:hAnsi="Times New Roman" w:cs="Times New Roman"/>
          <w:sz w:val="20"/>
          <w:szCs w:val="20"/>
        </w:rPr>
        <w:t>, 2015</w:t>
      </w:r>
      <w:r w:rsidR="00653723" w:rsidRPr="009E3A67">
        <w:rPr>
          <w:rFonts w:ascii="Times New Roman" w:hAnsi="Times New Roman" w:cs="Times New Roman"/>
          <w:sz w:val="20"/>
          <w:szCs w:val="20"/>
        </w:rPr>
        <w:t>:</w:t>
      </w:r>
      <w:r w:rsidRPr="009E3A67">
        <w:rPr>
          <w:rFonts w:ascii="Times New Roman" w:hAnsi="Times New Roman" w:cs="Times New Roman"/>
          <w:sz w:val="20"/>
          <w:szCs w:val="20"/>
        </w:rPr>
        <w:t xml:space="preserve"> 44).</w:t>
      </w:r>
    </w:p>
    <w:p w14:paraId="10F65CD0" w14:textId="77777777" w:rsidR="00785244" w:rsidRPr="009E3A67" w:rsidRDefault="00785244" w:rsidP="000442B7">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Nesse desarranjo nos andares superiores da política brasileira, as insurgências de junho, iniciadas por organizações de esquerda e pleiteando políticas públicas ligadas à mobilidade urbana, teriam sido apropriadas por novos grupos direitistas nas semanas que se seguiram aos primeiros atos comandados pelo Movimento Passe Livre (MPL) na cidade de São Paulo. </w:t>
      </w:r>
    </w:p>
    <w:p w14:paraId="56536364" w14:textId="77777777" w:rsidR="00785244" w:rsidRPr="009E3A67" w:rsidRDefault="00785244" w:rsidP="000442B7">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Em poucos dias, novos atores entram em cena, e multidões saem às ruas para protestar em todo o país. Pautas difusas de reivindicação, por vezes desencontradas, parecem marcar a tônica dos protestos. A despeito dessas vozes dissonantes oriundas das vias públicas, quem enxerga junho como ovo da serpente costuma destacar da multidão (i) as críticas à corrupção generalizada do sistema político-partidário, mas em tese comandada pelo partido político à frente da Presidência da República; e (2) a crença liberal acerca da ineficiência do Estado em gerir e distribuir recursos (e, no caso brasileiro, acentuada pela quantidade excessiva de Ministérios). </w:t>
      </w:r>
    </w:p>
    <w:p w14:paraId="5818C646" w14:textId="77777777" w:rsidR="00785244" w:rsidRPr="009E3A67" w:rsidRDefault="00785244" w:rsidP="000442B7">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A profusão de demandas distintas, conforme se notara naqueles dias, deixa claro para quem tem restrições quanto àquele momento a ausência de feição insurrecional. De algum modo, o que esteve em curso naquele ciclo de protestos não questionara a ordem social-econômica, e sim direcionaram sua insatisfação a alguns atores políticos, cristalizados na figura da então Presidenta. E, em que pese o reconhecimento inicial de que junho fora um acontecimento de “classes e ideologias cruzadas”</w:t>
      </w:r>
      <w:r w:rsidRPr="009E3A67">
        <w:rPr>
          <w:rStyle w:val="Refdenotaderodap"/>
          <w:rFonts w:ascii="Times New Roman" w:hAnsi="Times New Roman" w:cs="Times New Roman"/>
          <w:sz w:val="24"/>
          <w:szCs w:val="24"/>
        </w:rPr>
        <w:footnoteReference w:id="89"/>
      </w:r>
      <w:r w:rsidRPr="009E3A67">
        <w:rPr>
          <w:rFonts w:ascii="Times New Roman" w:hAnsi="Times New Roman" w:cs="Times New Roman"/>
          <w:sz w:val="24"/>
          <w:szCs w:val="24"/>
        </w:rPr>
        <w:t xml:space="preserve">, isto é, de atores e reivindicações socialmente heterogêneos, esse ponto de vista sobre os eventos tende a realçar tão somente o viés oposicionista de frações da classe média que se fizeram presentes, politizando aqueles dias como “de direita”. </w:t>
      </w:r>
    </w:p>
    <w:p w14:paraId="497B4831" w14:textId="77777777" w:rsidR="00785244" w:rsidRPr="009E3A67" w:rsidRDefault="00785244" w:rsidP="000442B7">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Para muitos, pois, ocorrera um sequestro das mobilizações por grupos e posicionamentos reacionários. Já naquele mês, houve quem indicasse o caráter de extremismo de direita na rejeição dos partidos políticos e na eleição da corrupção como principal causadora dos males do país, operação que estaria posta em ação na dinâmica das movimentações de rua. Embora se admita existir lastro na crítica contundente às instituições políticas àquela altura dos acontecimentos por parte dos que foram às mobilizações, viu-se como problemática a sua pretensa postura geral, haja vista que, para os detratores de junho, em vez de insistir numa reforma política, a maioria dos manifestantes recusara a legitimidade democrática e republicana da forma partido político.</w:t>
      </w:r>
      <w:r w:rsidRPr="009E3A67">
        <w:rPr>
          <w:rStyle w:val="Refdenotaderodap"/>
          <w:rFonts w:ascii="Times New Roman" w:hAnsi="Times New Roman" w:cs="Times New Roman"/>
          <w:sz w:val="24"/>
          <w:szCs w:val="24"/>
        </w:rPr>
        <w:footnoteReference w:id="90"/>
      </w:r>
      <w:r w:rsidRPr="009E3A67">
        <w:rPr>
          <w:rFonts w:ascii="Times New Roman" w:hAnsi="Times New Roman" w:cs="Times New Roman"/>
          <w:sz w:val="24"/>
          <w:szCs w:val="24"/>
        </w:rPr>
        <w:t xml:space="preserve"> Para essa linha, aderiu-se em junho ao discurso ideológico midiático de condenação integral da política, comum a uma perspectiva de classe conservadora – e tornou aberta a via para que uma vindoura extrema direita se sentisse à vontade para ocupar espaços.</w:t>
      </w:r>
    </w:p>
    <w:p w14:paraId="198D54B2" w14:textId="10A3074E" w:rsidR="00785244" w:rsidRPr="009E3A67" w:rsidRDefault="00785244" w:rsidP="00251B78">
      <w:pPr>
        <w:spacing w:before="240" w:line="240" w:lineRule="auto"/>
        <w:ind w:left="2268"/>
        <w:jc w:val="both"/>
        <w:rPr>
          <w:rFonts w:ascii="Times New Roman" w:hAnsi="Times New Roman" w:cs="Times New Roman"/>
          <w:sz w:val="20"/>
          <w:szCs w:val="18"/>
        </w:rPr>
      </w:pPr>
      <w:r w:rsidRPr="009E3A67">
        <w:rPr>
          <w:rFonts w:ascii="Times New Roman" w:hAnsi="Times New Roman" w:cs="Times New Roman"/>
          <w:sz w:val="20"/>
          <w:szCs w:val="18"/>
        </w:rPr>
        <w:t>[…] parte dos manifestantes está adotando a posição ideológica típica da classe média, que aspira por governos sem mediações institucionais, e, portanto, ditatoriais. Eis porque surge a afirmação de muitos manifestantes, enrolados na bandeira nacional, de que “meu partido é meu país”, ignorando, talvez, que essa foi uma das afirmações fundamentais do nazismo contra os partidos políticos (</w:t>
      </w:r>
      <w:r w:rsidR="00653723" w:rsidRPr="009E3A67">
        <w:rPr>
          <w:rFonts w:ascii="Times New Roman" w:hAnsi="Times New Roman" w:cs="Times New Roman"/>
          <w:sz w:val="20"/>
          <w:szCs w:val="18"/>
        </w:rPr>
        <w:t>CHAUI</w:t>
      </w:r>
      <w:r w:rsidRPr="009E3A67">
        <w:rPr>
          <w:rFonts w:ascii="Times New Roman" w:hAnsi="Times New Roman" w:cs="Times New Roman"/>
          <w:sz w:val="20"/>
          <w:szCs w:val="18"/>
        </w:rPr>
        <w:t xml:space="preserve">, 2013, seção “O pensamento mágico”). </w:t>
      </w:r>
    </w:p>
    <w:p w14:paraId="5DF702C9" w14:textId="77777777" w:rsidR="00785244" w:rsidRPr="009E3A67" w:rsidRDefault="00785244" w:rsidP="00251B78">
      <w:pPr>
        <w:spacing w:before="240"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Com a perda de comando por parte da esquerda não institucional da liderança dos levantes de junho, essa vertente entende que as investidas do rentismo contra o governo adquiriram justamente um reforço advindo das multidões insurgentes. À insatisfação do mercado financeiro com a “nova matriz econômica” do Ministro Guido Mantega, soma-se o descontentamento proveniente das ruas – endossado pelo mainstream</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midiático que rapidamente passara a apoiar as manifestações, identificando-as como avessas ao governo.</w:t>
      </w:r>
      <w:r w:rsidRPr="009E3A67">
        <w:rPr>
          <w:rStyle w:val="Refdenotaderodap"/>
          <w:rFonts w:ascii="Times New Roman" w:hAnsi="Times New Roman" w:cs="Times New Roman"/>
          <w:sz w:val="24"/>
          <w:szCs w:val="24"/>
        </w:rPr>
        <w:footnoteReference w:id="91"/>
      </w:r>
      <w:r w:rsidRPr="009E3A67">
        <w:rPr>
          <w:rFonts w:ascii="Times New Roman" w:hAnsi="Times New Roman" w:cs="Times New Roman"/>
          <w:sz w:val="24"/>
          <w:szCs w:val="24"/>
        </w:rPr>
        <w:t xml:space="preserve"> O cômputo fora o inesperado até então aumento dos indicadores de rejeição à Presidenta – e a instabilidade política que se seguiu no país nos anos subsequentes. </w:t>
      </w:r>
    </w:p>
    <w:p w14:paraId="6832B5DB" w14:textId="34C99029" w:rsidR="00785244" w:rsidRPr="009E3A67" w:rsidRDefault="00785244" w:rsidP="000442B7">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Outra corrente, aproximada da anterior e igualmente comum em escritos políticos, também possui reservas quanto às jornadas de 2013. Há quem aponte o período como um capítulo de desestabilização de governos nacionais não alinhados com a geopolítica majoritária dos países da União Europeia e dos Estados Unidos. Produções recentes, inclusive em publicações comprometidas com a divulgação do pensamento progressista, circunscrevem as insurgências de junho numa espécie de guerra híbrida e/ou revolução colorida. Por esse enquadramento, guerra híbrida, conceito da geopolítica militar global</w:t>
      </w:r>
      <w:r w:rsidRPr="009E3A67">
        <w:rPr>
          <w:rStyle w:val="Refdenotaderodap"/>
          <w:rFonts w:ascii="Times New Roman" w:hAnsi="Times New Roman" w:cs="Times New Roman"/>
          <w:sz w:val="24"/>
          <w:szCs w:val="24"/>
        </w:rPr>
        <w:footnoteReference w:id="92"/>
      </w:r>
      <w:r w:rsidRPr="009E3A67">
        <w:rPr>
          <w:rFonts w:ascii="Times New Roman" w:hAnsi="Times New Roman" w:cs="Times New Roman"/>
          <w:sz w:val="24"/>
          <w:szCs w:val="24"/>
        </w:rPr>
        <w:t>, consiste em certo tipo de conflito que reúne táticas não militares, a exemplo da desinformação e de retaliações econômicas, cujo objetivo é desestabilizar governos, mas sem a necessidade de intervenção armada direta nos países. Por seu turno, revolução colorida condiz com a etapa civil de uma guerra híbrida: utilizam-se ferramentas de propaganda e redes sociais a fim de acarretar algum desarranjo institucional no governo de ocasião, sobretudo ao se valer de manifestações de massa, no geral, pacíficas, que reclamam, segundo essa visão, abstratamente a ampliação de direitos. Por revolução colorida, entende-se um golpe brando, “[…] que une a população em um enxame […] e faz com que ela subjugue as instituições públicas que representam o governo” (</w:t>
      </w:r>
      <w:r w:rsidR="00653723" w:rsidRPr="009E3A67">
        <w:rPr>
          <w:rFonts w:ascii="Times New Roman" w:hAnsi="Times New Roman" w:cs="Times New Roman"/>
          <w:sz w:val="24"/>
          <w:szCs w:val="24"/>
        </w:rPr>
        <w:t>KORYBKO</w:t>
      </w:r>
      <w:r w:rsidRPr="009E3A67">
        <w:rPr>
          <w:rFonts w:ascii="Times New Roman" w:hAnsi="Times New Roman" w:cs="Times New Roman"/>
          <w:sz w:val="24"/>
          <w:szCs w:val="24"/>
        </w:rPr>
        <w:t>, 2018</w:t>
      </w:r>
      <w:r w:rsidR="008848F8">
        <w:rPr>
          <w:rFonts w:ascii="Times New Roman" w:hAnsi="Times New Roman" w:cs="Times New Roman"/>
          <w:sz w:val="24"/>
          <w:szCs w:val="24"/>
        </w:rPr>
        <w:t>:</w:t>
      </w:r>
      <w:r w:rsidRPr="009E3A67">
        <w:rPr>
          <w:rFonts w:ascii="Times New Roman" w:hAnsi="Times New Roman" w:cs="Times New Roman"/>
          <w:sz w:val="24"/>
          <w:szCs w:val="24"/>
        </w:rPr>
        <w:t xml:space="preserve"> 30).</w:t>
      </w:r>
      <w:r w:rsidRPr="009E3A67">
        <w:rPr>
          <w:rStyle w:val="Refdenotaderodap"/>
          <w:rFonts w:ascii="Times New Roman" w:hAnsi="Times New Roman" w:cs="Times New Roman"/>
          <w:sz w:val="24"/>
          <w:szCs w:val="24"/>
        </w:rPr>
        <w:footnoteReference w:id="93"/>
      </w:r>
      <w:r w:rsidRPr="009E3A67">
        <w:rPr>
          <w:rFonts w:ascii="Times New Roman" w:hAnsi="Times New Roman" w:cs="Times New Roman"/>
          <w:sz w:val="24"/>
          <w:szCs w:val="24"/>
        </w:rPr>
        <w:t xml:space="preserve"> Perpetradas por um agente externo, intenciona-se reduzir o apelo popular de um governo não adstrito às diretrizes internacionais das potências europeias e da política externa norte-americana. Seu objeto final é a promoção da troca de governantes. </w:t>
      </w:r>
    </w:p>
    <w:p w14:paraId="7C776E6B" w14:textId="77777777" w:rsidR="00785244" w:rsidRPr="009E3A67" w:rsidRDefault="00785244" w:rsidP="000442B7">
      <w:pPr>
        <w:spacing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Nessa orientação, subsistem avaliações</w:t>
      </w:r>
      <w:r w:rsidRPr="009E3A67">
        <w:rPr>
          <w:rStyle w:val="Refdenotaderodap"/>
          <w:rFonts w:ascii="Times New Roman" w:hAnsi="Times New Roman" w:cs="Times New Roman"/>
          <w:sz w:val="24"/>
          <w:szCs w:val="24"/>
        </w:rPr>
        <w:footnoteReference w:id="94"/>
      </w:r>
      <w:r w:rsidRPr="009E3A67">
        <w:rPr>
          <w:rFonts w:ascii="Times New Roman" w:hAnsi="Times New Roman" w:cs="Times New Roman"/>
          <w:sz w:val="24"/>
          <w:szCs w:val="24"/>
        </w:rPr>
        <w:t xml:space="preserve"> que enxergam os principais eventos do noticiário político brasileiro dos anos 2010 – Operação Lava-Jato, impeachment</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de Dilma Rousseff, eleições de 2018 etc. – como desdobramentos de uma guerra híbrida, que se iniciara com as manifestações de junho de 2013. Como dito, concerne ao uso de expedientes não militares (intervenção midiática, lawfare etc.), como forma de tornar vulnerável certa liderança política. Para tal perspectiva, já em 2013 a arena política brasileira, no decorrer dos protestos massivos, assumiu contornos de provocação para desacreditar o governo comandado pelo Partido dos Trabalhadores (PT), restringindo-o em sua capacidade de ação, de sorte a instaurar-se um caos social e político, cujos resultados posteriores redundam no término abrupto do Governo Dilma II pela via procedimental (apoiado pela mídia tradicional, e não sem controvérsias jurídicas) e na chegada ao poder da extrema direita.</w:t>
      </w:r>
      <w:r w:rsidRPr="009E3A67">
        <w:rPr>
          <w:rStyle w:val="Refdenotaderodap"/>
          <w:rFonts w:ascii="Times New Roman" w:hAnsi="Times New Roman" w:cs="Times New Roman"/>
          <w:sz w:val="24"/>
          <w:szCs w:val="24"/>
        </w:rPr>
        <w:footnoteReference w:id="95"/>
      </w:r>
    </w:p>
    <w:p w14:paraId="0CD3F33D" w14:textId="77777777" w:rsidR="00785244" w:rsidRPr="009E3A67" w:rsidRDefault="00785244" w:rsidP="000442B7">
      <w:pPr>
        <w:spacing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Em todo caso, conforme o que se procura albergar aqui, sugere-se então haver um sentido vencedor nas interpretações sobre junho: concerne à energia social potencialmente disruptiva que mostrara sua face em 2013 – para alguns, desde sempre regressiva, para outros, mobilizada e capturada por forças conservadoras.</w:t>
      </w:r>
      <w:r w:rsidRPr="009E3A67">
        <w:rPr>
          <w:rStyle w:val="Refdenotaderodap"/>
          <w:rFonts w:ascii="Times New Roman" w:hAnsi="Times New Roman" w:cs="Times New Roman"/>
          <w:sz w:val="24"/>
          <w:szCs w:val="24"/>
        </w:rPr>
        <w:footnoteReference w:id="96"/>
      </w:r>
      <w:r w:rsidRPr="009E3A67">
        <w:rPr>
          <w:rFonts w:ascii="Times New Roman" w:hAnsi="Times New Roman" w:cs="Times New Roman"/>
          <w:sz w:val="24"/>
          <w:szCs w:val="24"/>
        </w:rPr>
        <w:t xml:space="preserve"> </w:t>
      </w:r>
    </w:p>
    <w:p w14:paraId="0A535EF1" w14:textId="77777777" w:rsidR="00785244" w:rsidRPr="009E3A67" w:rsidRDefault="000442B7" w:rsidP="00785244">
      <w:pPr>
        <w:rPr>
          <w:rFonts w:ascii="Times New Roman" w:hAnsi="Times New Roman" w:cs="Times New Roman"/>
          <w:b/>
          <w:bCs/>
          <w:sz w:val="24"/>
          <w:szCs w:val="24"/>
        </w:rPr>
      </w:pPr>
      <w:r w:rsidRPr="009E3A67">
        <w:rPr>
          <w:rFonts w:ascii="Times New Roman" w:hAnsi="Times New Roman" w:cs="Times New Roman"/>
          <w:b/>
          <w:bCs/>
          <w:sz w:val="24"/>
          <w:szCs w:val="24"/>
        </w:rPr>
        <w:t>2. O PROBLEMA DA TELEOLOGIA SIMPLIFICADORA</w:t>
      </w:r>
    </w:p>
    <w:p w14:paraId="3B6DF8D3" w14:textId="32EBB3E6" w:rsidR="00785244" w:rsidRPr="009E3A67" w:rsidRDefault="00785244" w:rsidP="000442B7">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Desvencilhar-se das visões apresentadas não é tarefa fácil para os observadores de junho. Diz respeito a um assunto mal resolvido, por assim dizer, em parte da esquerda brasileira. Para tentar desatar alguns obstáculos, começa-se por fazer uma concessão. Decerto assistiu-se, na última década, a uma ofensiva das classes dominantes que destituiu o governo de um partido historicamente de esquerda, afastou o mencionado reformismo do período anterior e impôs uma política de austeridade. Mas não está implicado que possivelmente o “[…] maior movimento de massas desde a redemocratização” (Nunes, 2022</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 10) fosse na sua origem parte de um plano de regressão democrática, aliado à agenda econômica ultraliberal. </w:t>
      </w:r>
    </w:p>
    <w:p w14:paraId="04EF961D" w14:textId="1E9CBA1E" w:rsidR="00785244" w:rsidRPr="009E3A67" w:rsidRDefault="00785244" w:rsidP="000442B7">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Essa história “[…]  não estava escrita desde sempre, esse resultado não estava dado de antemão” (</w:t>
      </w:r>
      <w:r w:rsidR="00653723" w:rsidRPr="009E3A67">
        <w:rPr>
          <w:rFonts w:ascii="Times New Roman" w:hAnsi="Times New Roman" w:cs="Times New Roman"/>
          <w:sz w:val="24"/>
          <w:szCs w:val="24"/>
        </w:rPr>
        <w:t>NOBRE</w:t>
      </w:r>
      <w:r w:rsidRPr="009E3A67">
        <w:rPr>
          <w:rFonts w:ascii="Times New Roman" w:hAnsi="Times New Roman" w:cs="Times New Roman"/>
          <w:sz w:val="24"/>
          <w:szCs w:val="24"/>
        </w:rPr>
        <w:t>, 2022</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131). Se é possível concordar que os anos posteriores foram marcados por uma contraofensiva das elites econômicas contra as conquistas sociais adquiridas na Nova República, decerto se mostra mais propício indagar em que momento houve um desenlace nefasto para o início de alguma coisa que soara promissora.</w:t>
      </w:r>
    </w:p>
    <w:p w14:paraId="765E99BE" w14:textId="72C9F7D3" w:rsidR="00785244" w:rsidRPr="009E3A67" w:rsidRDefault="00785244" w:rsidP="000442B7">
      <w:pPr>
        <w:spacing w:after="0" w:line="360" w:lineRule="auto"/>
        <w:ind w:firstLine="851"/>
        <w:jc w:val="both"/>
        <w:rPr>
          <w:rFonts w:ascii="Times New Roman" w:hAnsi="Times New Roman" w:cs="Times New Roman"/>
          <w:color w:val="000000"/>
          <w:sz w:val="24"/>
          <w:szCs w:val="24"/>
        </w:rPr>
      </w:pPr>
      <w:r w:rsidRPr="009E3A67">
        <w:rPr>
          <w:rFonts w:ascii="Times New Roman" w:hAnsi="Times New Roman" w:cs="Times New Roman"/>
          <w:sz w:val="24"/>
          <w:szCs w:val="24"/>
        </w:rPr>
        <w:t xml:space="preserve">Isto posto, assumir as investidas antidemocráticas ocorridas em anos recentes como desdobramentos necessários e diretos dos protestos de junho soa como uma resposta simplória aos eventos. É comum abreviar o que se atravessara naquele mês, identificando a alguma coisa prejudicial. Procedimento usual sobre junho resume-se ou numa caracterização depreciativa ou no silenciamento quanto ao tema. Denota existir ainda um tipo de denegação para lidar com uma experiência que, de fato, mostrou-se intrincada, mas que precisa ser elaborada. Assim sendo, essa </w:t>
      </w:r>
      <w:r w:rsidRPr="009E3A67">
        <w:rPr>
          <w:rFonts w:ascii="Times New Roman" w:hAnsi="Times New Roman" w:cs="Times New Roman"/>
          <w:color w:val="000000"/>
          <w:sz w:val="24"/>
          <w:szCs w:val="24"/>
        </w:rPr>
        <w:t>“[…] extrema dificuldade de tirar lições de 2013 que os mais variados setores da esquerda demonstram sugere que há ali um núcleo traumático em que o pensamento trava sem conseguir avançar” (</w:t>
      </w:r>
      <w:r w:rsidR="00653723" w:rsidRPr="009E3A67">
        <w:rPr>
          <w:rFonts w:ascii="Times New Roman" w:hAnsi="Times New Roman" w:cs="Times New Roman"/>
          <w:color w:val="000000"/>
          <w:sz w:val="24"/>
          <w:szCs w:val="24"/>
        </w:rPr>
        <w:t>NUNES</w:t>
      </w:r>
      <w:r w:rsidRPr="009E3A67">
        <w:rPr>
          <w:rFonts w:ascii="Times New Roman" w:hAnsi="Times New Roman" w:cs="Times New Roman"/>
          <w:color w:val="000000"/>
          <w:sz w:val="24"/>
          <w:szCs w:val="24"/>
        </w:rPr>
        <w:t>, 2022</w:t>
      </w:r>
      <w:r w:rsidR="00653723" w:rsidRPr="009E3A67">
        <w:rPr>
          <w:rFonts w:ascii="Times New Roman" w:hAnsi="Times New Roman" w:cs="Times New Roman"/>
          <w:color w:val="000000"/>
          <w:sz w:val="24"/>
          <w:szCs w:val="24"/>
        </w:rPr>
        <w:t>:</w:t>
      </w:r>
      <w:r w:rsidRPr="009E3A67">
        <w:rPr>
          <w:rFonts w:ascii="Times New Roman" w:hAnsi="Times New Roman" w:cs="Times New Roman"/>
          <w:color w:val="000000"/>
          <w:sz w:val="24"/>
          <w:szCs w:val="24"/>
        </w:rPr>
        <w:t xml:space="preserve"> 10).</w:t>
      </w:r>
    </w:p>
    <w:p w14:paraId="263D0B9B" w14:textId="77777777" w:rsidR="00785244" w:rsidRPr="009E3A67" w:rsidRDefault="00785244" w:rsidP="000442B7">
      <w:pPr>
        <w:spacing w:after="0" w:line="360" w:lineRule="auto"/>
        <w:ind w:firstLine="851"/>
        <w:jc w:val="both"/>
        <w:rPr>
          <w:rFonts w:ascii="Times New Roman" w:hAnsi="Times New Roman" w:cs="Times New Roman"/>
          <w:color w:val="000000"/>
          <w:sz w:val="24"/>
          <w:szCs w:val="24"/>
        </w:rPr>
      </w:pPr>
      <w:r w:rsidRPr="009E3A67">
        <w:rPr>
          <w:rFonts w:ascii="Times New Roman" w:hAnsi="Times New Roman" w:cs="Times New Roman"/>
          <w:color w:val="000000"/>
          <w:sz w:val="24"/>
          <w:szCs w:val="24"/>
        </w:rPr>
        <w:t xml:space="preserve">Como os anos posteriores impuseram resultados desfavoráveis aos setores mais progressistas, não é difícil supor a dificuldade de alguns intérpretes situados à esquerda em confrontar-se com uma realidade que causara fricções. Lugar-comum para encarar eventos passados que acarretam perturbação reside na assunção acrítica de interpretações eivadas de simplificações. Isolar o mês de junho de 2013 como instante do qual a sequência de episódios frustrantes da política brasileira teria derivado parece padecer de certa armadilha conceitual pela qual a história se desenrolaria de forma linear. </w:t>
      </w:r>
    </w:p>
    <w:p w14:paraId="0EF2FD46" w14:textId="77777777" w:rsidR="00785244" w:rsidRPr="009E3A67" w:rsidRDefault="00785244" w:rsidP="000442B7">
      <w:pPr>
        <w:spacing w:line="360" w:lineRule="auto"/>
        <w:ind w:firstLine="851"/>
        <w:jc w:val="both"/>
        <w:rPr>
          <w:rFonts w:ascii="Times New Roman" w:hAnsi="Times New Roman" w:cs="Times New Roman"/>
          <w:color w:val="000000"/>
          <w:sz w:val="24"/>
          <w:szCs w:val="24"/>
        </w:rPr>
      </w:pPr>
      <w:r w:rsidRPr="009E3A67">
        <w:rPr>
          <w:rFonts w:ascii="Times New Roman" w:hAnsi="Times New Roman" w:cs="Times New Roman"/>
          <w:color w:val="000000"/>
          <w:sz w:val="24"/>
          <w:szCs w:val="24"/>
        </w:rPr>
        <w:t>Por vezes, nota-se a inclinação de verter a sucessão plurifacetada de episódios que se estenderam por vários dias e semanas, com particularidades complexas, a um simplismo reducionista de uma causa reunificadora, que se desvelara, anos mais tarde, em um fito de erosão social e democrática. À vista disso, tanto faz reduzir junho à origem do autoritarismo recente ou a uma “guerra híbrida”.</w:t>
      </w:r>
    </w:p>
    <w:p w14:paraId="1AEB103E" w14:textId="3734550F" w:rsidR="00785244" w:rsidRPr="009E3A67" w:rsidRDefault="00785244" w:rsidP="008E03BB">
      <w:pPr>
        <w:spacing w:line="240" w:lineRule="auto"/>
        <w:ind w:left="2268"/>
        <w:jc w:val="both"/>
        <w:rPr>
          <w:rFonts w:ascii="Times New Roman" w:hAnsi="Times New Roman" w:cs="Times New Roman"/>
          <w:color w:val="000000"/>
          <w:sz w:val="20"/>
          <w:szCs w:val="20"/>
        </w:rPr>
      </w:pPr>
      <w:r w:rsidRPr="009E3A67">
        <w:rPr>
          <w:rFonts w:ascii="Times New Roman" w:hAnsi="Times New Roman" w:cs="Times New Roman"/>
          <w:color w:val="000000"/>
          <w:sz w:val="20"/>
          <w:szCs w:val="20"/>
        </w:rPr>
        <w:t>É assim que Junho de 2013, a Operação Lava Jato, o impeachment de Dilma Rousseff e a eleição de Jair Bolsonaro podem ser sintetizados numa narrativa unilinear, reduzidos a meras etapas na execução rigorosa de uma “guerra híbrida” coordenada pela cia ou de uma estratégia traçada há muito pelos militares (</w:t>
      </w:r>
      <w:r w:rsidR="00653723" w:rsidRPr="009E3A67">
        <w:rPr>
          <w:rFonts w:ascii="Times New Roman" w:hAnsi="Times New Roman" w:cs="Times New Roman"/>
          <w:color w:val="000000"/>
          <w:sz w:val="20"/>
          <w:szCs w:val="20"/>
        </w:rPr>
        <w:t>NUNES</w:t>
      </w:r>
      <w:r w:rsidRPr="009E3A67">
        <w:rPr>
          <w:rFonts w:ascii="Times New Roman" w:hAnsi="Times New Roman" w:cs="Times New Roman"/>
          <w:color w:val="000000"/>
          <w:sz w:val="20"/>
          <w:szCs w:val="20"/>
        </w:rPr>
        <w:t>, 2022</w:t>
      </w:r>
      <w:r w:rsidR="00653723" w:rsidRPr="009E3A67">
        <w:rPr>
          <w:rFonts w:ascii="Times New Roman" w:hAnsi="Times New Roman" w:cs="Times New Roman"/>
          <w:color w:val="000000"/>
          <w:sz w:val="20"/>
          <w:szCs w:val="20"/>
        </w:rPr>
        <w:t>:</w:t>
      </w:r>
      <w:r w:rsidRPr="009E3A67">
        <w:rPr>
          <w:rFonts w:ascii="Times New Roman" w:hAnsi="Times New Roman" w:cs="Times New Roman"/>
          <w:color w:val="000000"/>
          <w:sz w:val="20"/>
          <w:szCs w:val="20"/>
        </w:rPr>
        <w:t xml:space="preserve"> 171).</w:t>
      </w:r>
    </w:p>
    <w:p w14:paraId="46DADBA3" w14:textId="77777777" w:rsidR="00785244" w:rsidRPr="009E3A67" w:rsidRDefault="00785244" w:rsidP="00653723">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Em outras palavras, limitar junho como ovo da serpente significa deixar-se levar por uma atratividade letrada de tratar circunstâncias históricas multifacetadas com as ferramentas da linearidade, causalidade simples, mecanicismo etc. Consiste em verdadeiro empecilho teórico, visto que interdita as múltiplas direções que um evento de massas permite suscitar. Esse tipo de exercício intelectual não raro retira do âmbito da reflexão crítica a complexidade intrínseca de um acontecimento que tomara as atenções do cotidiano brasileiro. </w:t>
      </w:r>
    </w:p>
    <w:p w14:paraId="5528D022" w14:textId="77777777" w:rsidR="00785244" w:rsidRPr="009E3A67" w:rsidRDefault="00785244" w:rsidP="00653723">
      <w:pPr>
        <w:spacing w:after="0" w:line="360" w:lineRule="auto"/>
        <w:ind w:firstLine="709"/>
        <w:jc w:val="both"/>
        <w:rPr>
          <w:rFonts w:ascii="Times New Roman" w:hAnsi="Times New Roman" w:cs="Times New Roman"/>
          <w:sz w:val="24"/>
          <w:szCs w:val="24"/>
        </w:rPr>
      </w:pPr>
      <w:r w:rsidRPr="009E3A67">
        <w:rPr>
          <w:rFonts w:ascii="Times New Roman" w:hAnsi="Times New Roman" w:cs="Times New Roman"/>
          <w:sz w:val="24"/>
          <w:szCs w:val="24"/>
        </w:rPr>
        <w:t>Não se quer negar com isso a possibilidade de estabelecer relações entre a ascensão da extrema direita e as ocorrências de junho. No entanto, o expediente comum em determinadas leituras sobre os dois fenômenos é fazer de junho a causa daquele, desprezando outros vários momentos, alguns anteriores a 2013, assim como aqueles que ocorreram até as eleições de 2018.</w:t>
      </w:r>
      <w:r w:rsidRPr="009E3A67">
        <w:rPr>
          <w:rStyle w:val="Refdenotaderodap"/>
          <w:rFonts w:ascii="Times New Roman" w:hAnsi="Times New Roman" w:cs="Times New Roman"/>
          <w:sz w:val="24"/>
          <w:szCs w:val="24"/>
        </w:rPr>
        <w:footnoteReference w:id="97"/>
      </w:r>
    </w:p>
    <w:p w14:paraId="6E1FD1FC" w14:textId="77777777" w:rsidR="00DC7975" w:rsidRPr="009E3A67" w:rsidRDefault="00DC7975" w:rsidP="00DC7975">
      <w:pPr>
        <w:spacing w:after="0" w:line="240" w:lineRule="auto"/>
        <w:ind w:firstLine="709"/>
        <w:jc w:val="both"/>
        <w:rPr>
          <w:rFonts w:ascii="Times New Roman" w:hAnsi="Times New Roman" w:cs="Times New Roman"/>
          <w:sz w:val="24"/>
          <w:szCs w:val="24"/>
        </w:rPr>
      </w:pPr>
    </w:p>
    <w:p w14:paraId="19C592FA" w14:textId="06DA80A3" w:rsidR="00785244" w:rsidRPr="009E3A67" w:rsidRDefault="00785244" w:rsidP="008E03BB">
      <w:pPr>
        <w:spacing w:line="240" w:lineRule="auto"/>
        <w:ind w:left="2268"/>
        <w:jc w:val="both"/>
        <w:rPr>
          <w:rFonts w:ascii="Times New Roman" w:hAnsi="Times New Roman" w:cs="Times New Roman"/>
          <w:sz w:val="20"/>
          <w:szCs w:val="18"/>
        </w:rPr>
      </w:pPr>
      <w:r w:rsidRPr="009E3A67">
        <w:rPr>
          <w:rFonts w:ascii="Times New Roman" w:hAnsi="Times New Roman" w:cs="Times New Roman"/>
          <w:sz w:val="20"/>
          <w:szCs w:val="18"/>
        </w:rPr>
        <w:t>Em lugar de tentar entender o que, afinal, tinha acontecido em Junho, passou-se a falar do estelionato eleitoral de Dilma Rousseff ou da contestação pelo candidato derrotado Aécio Neves na eleição de 2014, da recessão econômica, da crise política, das decisões do STF, da prisão de Lula. Junho foi fixado como prenúncio de Jair Bolsonaro. Esse curto-circuito fez da eleição de Bolsonaro em 2018 uma espécie de marco definitivo de qualquer conta de chegada explicativa de Junho (</w:t>
      </w:r>
      <w:r w:rsidR="008C0FBF" w:rsidRPr="009E3A67">
        <w:rPr>
          <w:rFonts w:ascii="Times New Roman" w:hAnsi="Times New Roman" w:cs="Times New Roman"/>
          <w:sz w:val="20"/>
          <w:szCs w:val="18"/>
        </w:rPr>
        <w:t>NOBRE</w:t>
      </w:r>
      <w:r w:rsidRPr="009E3A67">
        <w:rPr>
          <w:rFonts w:ascii="Times New Roman" w:hAnsi="Times New Roman" w:cs="Times New Roman"/>
          <w:sz w:val="20"/>
          <w:szCs w:val="18"/>
        </w:rPr>
        <w:t>, 2022</w:t>
      </w:r>
      <w:r w:rsidR="008848F8">
        <w:rPr>
          <w:rFonts w:ascii="Times New Roman" w:hAnsi="Times New Roman" w:cs="Times New Roman"/>
          <w:sz w:val="20"/>
          <w:szCs w:val="18"/>
        </w:rPr>
        <w:t>:</w:t>
      </w:r>
      <w:r w:rsidRPr="009E3A67">
        <w:rPr>
          <w:rFonts w:ascii="Times New Roman" w:hAnsi="Times New Roman" w:cs="Times New Roman"/>
          <w:sz w:val="20"/>
          <w:szCs w:val="18"/>
        </w:rPr>
        <w:t>17-18).</w:t>
      </w:r>
    </w:p>
    <w:p w14:paraId="4BA44681" w14:textId="1CD75CFF"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Permanece, assim, um problema em interpretações à esquerda: a característica teleológica tende a observar o que se passara a partir dos fins que alcançou. O equívoco equivale a afirmar que “[…] o resultado </w:t>
      </w:r>
      <w:r w:rsidRPr="009E3A67">
        <w:rPr>
          <w:rFonts w:ascii="Times New Roman" w:hAnsi="Times New Roman" w:cs="Times New Roman"/>
          <w:i/>
          <w:iCs/>
          <w:sz w:val="24"/>
          <w:szCs w:val="24"/>
        </w:rPr>
        <w:t>só poderia ter sido</w:t>
      </w:r>
      <w:r w:rsidRPr="009E3A67">
        <w:rPr>
          <w:rFonts w:ascii="Times New Roman" w:hAnsi="Times New Roman" w:cs="Times New Roman"/>
          <w:sz w:val="24"/>
          <w:szCs w:val="24"/>
        </w:rPr>
        <w:t> uma vitória da direita, seja porque situações como Junho inevitavelmente conduzem à reação, seja porque a maioria da população já era de direita e apenas não sabia” (</w:t>
      </w:r>
      <w:r w:rsidR="00653723" w:rsidRPr="009E3A67">
        <w:rPr>
          <w:rFonts w:ascii="Times New Roman" w:hAnsi="Times New Roman" w:cs="Times New Roman"/>
          <w:sz w:val="24"/>
          <w:szCs w:val="24"/>
        </w:rPr>
        <w:t>NUNES</w:t>
      </w:r>
      <w:r w:rsidRPr="009E3A67">
        <w:rPr>
          <w:rFonts w:ascii="Times New Roman" w:hAnsi="Times New Roman" w:cs="Times New Roman"/>
          <w:sz w:val="24"/>
          <w:szCs w:val="24"/>
        </w:rPr>
        <w:t>, 2022</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 182). É como se a extrema direita estivesse desde sempre destinada a vencer as disputas políticas. Dito de outra forma, utilizar-se da teleologia corresponde a um enquadramento dos momentos pregressos de tal modo que derivem sem desvios do que sucede no presente. Todavia, uma formulação nesses termos comumente “[…] ignora que os acontecimentos do passado poderiam ter seguido outros desenvolvimentos” (</w:t>
      </w:r>
      <w:r w:rsidR="00653723" w:rsidRPr="009E3A67">
        <w:rPr>
          <w:rFonts w:ascii="Times New Roman" w:hAnsi="Times New Roman" w:cs="Times New Roman"/>
          <w:sz w:val="24"/>
          <w:szCs w:val="24"/>
        </w:rPr>
        <w:t>NOBRE</w:t>
      </w:r>
      <w:r w:rsidRPr="009E3A67">
        <w:rPr>
          <w:rFonts w:ascii="Times New Roman" w:hAnsi="Times New Roman" w:cs="Times New Roman"/>
          <w:sz w:val="24"/>
          <w:szCs w:val="24"/>
        </w:rPr>
        <w:t>, 2022</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 17).</w:t>
      </w:r>
    </w:p>
    <w:p w14:paraId="783199DA"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A narrativa que condena junho de 2013 comete, portanto, um erro fundamental: analisar o processo histórico à luz do resultado. Essa perspectiva afasta a fluidez das ideologias e a capacidade de transformação política dos indivíduos, assim como as modificações estruturais. </w:t>
      </w:r>
    </w:p>
    <w:p w14:paraId="21E83BFB"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Recai-se, por exemplo, na incorreção de presumir que aqueles que se identificam com a extrema direita sempre tiveram essa inclinação. Perde do horizonte o detalhe de que muitos que hoje se veem como direitistas de vertentes mais extremas reconheciam-se como esquerdistas em 2013, à época alguns até se considerando radicais. A interpretação equivocada reside em assumir que seres humanos sempre carregaram consigo as mesmas convicções, desconsiderando a dinâmica das experiências pessoais e a influência do contexto político. </w:t>
      </w:r>
    </w:p>
    <w:p w14:paraId="6551C25B"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Contudo, o mês de junho de 2013, embora expressivo, não continha em si todo o desenrolar subsequente. Situações inesperadas, decisões individuais e coletivas e flutuações das circunstâncias puderam alterar significativamente o curso dos acontecimentos. Afirmar a inevitabilidade de determinado fenômeno – que carregaria consigo o germe dos episódios posteriores – desconsidera o caráter de contradição do devir histórico. </w:t>
      </w:r>
    </w:p>
    <w:p w14:paraId="0C9A036A"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Por certo, a história não é o resultado exclusivo da subjetividade. A ação humana influi para o desenlace de momentos decisivos, a despeito de não se escolher as circunstâncias em que se encontra submergida.</w:t>
      </w:r>
      <w:r w:rsidRPr="009E3A67">
        <w:rPr>
          <w:rStyle w:val="Refdenotaderodap"/>
          <w:rFonts w:ascii="Times New Roman" w:hAnsi="Times New Roman" w:cs="Times New Roman"/>
          <w:sz w:val="24"/>
          <w:szCs w:val="24"/>
        </w:rPr>
        <w:footnoteReference w:id="98"/>
      </w:r>
      <w:r w:rsidRPr="009E3A67">
        <w:rPr>
          <w:rFonts w:ascii="Times New Roman" w:hAnsi="Times New Roman" w:cs="Times New Roman"/>
          <w:sz w:val="24"/>
          <w:szCs w:val="24"/>
        </w:rPr>
        <w:t xml:space="preserve"> Neste caso, indivíduos e grupos sociais não podem ser reduzidos a peças de uma disputa predeterminada. Sofrem influências, mas têm capacidade de ação, de tomada de decisão. Interferem no decurso da história. Tomar como definitiva determinada visão linear sobre os acontecimentos, atribuindo a eles, desde sempre, um sentido pejorativo, traduz-se na negação da agência humana – mais ainda: significa negar o papel fundamental que a realidade humana desempenha na construção do seu próprio futuro. </w:t>
      </w:r>
    </w:p>
    <w:p w14:paraId="0B81B1A2"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Consideradas a agência humana e a própria contingência dos fatos, para oferecer uma alternativa ao debate consolidado sobre junho de 2013, talvez renda mais proveito apontar que, ao longo dos últimos anos, travou-se uma disputa, cujo ato seguinte fora uma derrota</w:t>
      </w:r>
      <w:r w:rsidRPr="009E3A67">
        <w:rPr>
          <w:rStyle w:val="Refdenotaderodap"/>
          <w:rFonts w:ascii="Times New Roman" w:hAnsi="Times New Roman" w:cs="Times New Roman"/>
          <w:sz w:val="24"/>
          <w:szCs w:val="24"/>
        </w:rPr>
        <w:footnoteReference w:id="99"/>
      </w:r>
      <w:r w:rsidRPr="009E3A67">
        <w:rPr>
          <w:rFonts w:ascii="Times New Roman" w:hAnsi="Times New Roman" w:cs="Times New Roman"/>
          <w:sz w:val="24"/>
          <w:szCs w:val="24"/>
        </w:rPr>
        <w:t xml:space="preserve"> histórica da esquerda brasileira. Isto posto, ainda que parcial, operar um exame da malograda atuação do campo progressista produz o benefício de afastar a reflexão crítica da teleologia pura e simples, assumindo-se que o resultado poderia ser outro.</w:t>
      </w:r>
    </w:p>
    <w:p w14:paraId="09884934" w14:textId="77777777" w:rsidR="00785244" w:rsidRPr="009E3A67" w:rsidRDefault="00785244" w:rsidP="008E03BB">
      <w:pPr>
        <w:spacing w:after="0" w:line="360" w:lineRule="auto"/>
        <w:ind w:firstLine="709"/>
        <w:jc w:val="both"/>
        <w:rPr>
          <w:rFonts w:ascii="Times New Roman" w:hAnsi="Times New Roman" w:cs="Times New Roman"/>
          <w:sz w:val="24"/>
          <w:szCs w:val="24"/>
        </w:rPr>
      </w:pPr>
      <w:r w:rsidRPr="009E3A67">
        <w:rPr>
          <w:rFonts w:ascii="Times New Roman" w:hAnsi="Times New Roman" w:cs="Times New Roman"/>
          <w:sz w:val="24"/>
          <w:szCs w:val="24"/>
        </w:rPr>
        <w:t xml:space="preserve">Diz-se de uma derrota, porquanto é inegável que a extrema direita soube obter vantagens daqueles dias de contestação –, e o que havia de antissistema já em junho fora por ela mais bem conduzido ao longo dos anos. E, mais do que tirar lições, a extrema direita tornou-se um dos principais vetores do cenário político e construiu uma base social, mormente ao escamotear o antagonismo entre elites econômicas e camadas populares.  </w:t>
      </w:r>
    </w:p>
    <w:p w14:paraId="4C6D0FF4"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O período de efervescência política abriu um espaço de disputa ideológica em que a extrema direita se organizou de maneira mais eficaz do que a esquerda e a direita. No vácuo aberto devido ao desapontamento com as proposições à esquerda, a extrema direita soube se organizar e capitalizar o momento, encontrando inclusive interlocutores dentro do próprio sistema político durante os anos posteriores. </w:t>
      </w:r>
    </w:p>
    <w:p w14:paraId="28820FB5" w14:textId="77777777" w:rsidR="00653723" w:rsidRPr="009E3A67" w:rsidRDefault="00653723" w:rsidP="00FB5FC1">
      <w:pPr>
        <w:spacing w:after="0" w:line="240" w:lineRule="auto"/>
        <w:rPr>
          <w:rFonts w:ascii="Times New Roman" w:hAnsi="Times New Roman" w:cs="Times New Roman"/>
          <w:b/>
          <w:bCs/>
        </w:rPr>
      </w:pPr>
    </w:p>
    <w:p w14:paraId="0A401550" w14:textId="7C497107" w:rsidR="00785244" w:rsidRPr="009E3A67" w:rsidRDefault="008E03BB" w:rsidP="00785244">
      <w:pPr>
        <w:rPr>
          <w:rFonts w:ascii="Times New Roman" w:hAnsi="Times New Roman" w:cs="Times New Roman"/>
          <w:b/>
          <w:bCs/>
        </w:rPr>
      </w:pPr>
      <w:r w:rsidRPr="009E3A67">
        <w:rPr>
          <w:rFonts w:ascii="Times New Roman" w:hAnsi="Times New Roman" w:cs="Times New Roman"/>
          <w:b/>
          <w:bCs/>
        </w:rPr>
        <w:t>3. A ENCRUZILHADA DA ESQUERDA BRASILEIRA</w:t>
      </w:r>
    </w:p>
    <w:p w14:paraId="577E5E80" w14:textId="77777777" w:rsidR="00785244" w:rsidRPr="009E3A67" w:rsidRDefault="00785244" w:rsidP="008E03BB">
      <w:pPr>
        <w:spacing w:line="360" w:lineRule="auto"/>
        <w:ind w:firstLine="709"/>
        <w:jc w:val="both"/>
        <w:rPr>
          <w:rFonts w:ascii="Times New Roman" w:hAnsi="Times New Roman" w:cs="Times New Roman"/>
          <w:sz w:val="24"/>
          <w:szCs w:val="24"/>
        </w:rPr>
      </w:pPr>
      <w:r w:rsidRPr="009E3A67">
        <w:rPr>
          <w:rFonts w:ascii="Times New Roman" w:hAnsi="Times New Roman" w:cs="Times New Roman"/>
          <w:sz w:val="24"/>
          <w:szCs w:val="24"/>
        </w:rPr>
        <w:t>Diante da energia social dispersa que se mostrara nas ruas de todo o Brasil, o sistema político viu-se confrontado como em poucas ocasiões da história brasileira. A maior parte das insurgências de junho indicava um descontentamento generalizado com o manejo da coisa pública e com os mecanismos institucionais de representação. Como mencionado, tratou-se sobretudo de um ímpeto antissistema, que rapidamente evoluíra de protestos contra o aumento das passagens do transporte público em São Paulo e passara a questionar a razão de ser da política brasileira até então.</w:t>
      </w:r>
      <w:r w:rsidRPr="009E3A67">
        <w:rPr>
          <w:rStyle w:val="Refdenotaderodap"/>
          <w:rFonts w:ascii="Times New Roman" w:hAnsi="Times New Roman" w:cs="Times New Roman"/>
          <w:sz w:val="24"/>
          <w:szCs w:val="24"/>
        </w:rPr>
        <w:footnoteReference w:id="100"/>
      </w:r>
      <w:r w:rsidRPr="009E3A67">
        <w:rPr>
          <w:rFonts w:ascii="Times New Roman" w:hAnsi="Times New Roman" w:cs="Times New Roman"/>
          <w:sz w:val="24"/>
          <w:szCs w:val="24"/>
        </w:rPr>
        <w:t xml:space="preserve"> </w:t>
      </w:r>
    </w:p>
    <w:p w14:paraId="25FC366F"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Já naqueles dias se observara um contínuo de discussões acerca da vida nacional, em que pairava uma desconfiança disseminada a respeito da classe política e das instituições. Se antes conversas em tom crítico restringiam-se a círculos especializados, nesse momento a insatisfação quanto à corrupção e repressão policial (vista nas primeiras manifestações) permeava as ruas e as redes sociais. </w:t>
      </w:r>
    </w:p>
    <w:p w14:paraId="57C1034F" w14:textId="77777777" w:rsidR="00785244" w:rsidRPr="009E3A67" w:rsidRDefault="00785244" w:rsidP="008E03BB">
      <w:pPr>
        <w:spacing w:after="0" w:line="360" w:lineRule="auto"/>
        <w:ind w:firstLine="851"/>
        <w:jc w:val="both"/>
        <w:rPr>
          <w:rFonts w:ascii="Times New Roman" w:hAnsi="Times New Roman" w:cs="Times New Roman"/>
          <w:color w:val="000000"/>
          <w:sz w:val="24"/>
          <w:szCs w:val="24"/>
        </w:rPr>
      </w:pPr>
      <w:r w:rsidRPr="009E3A67">
        <w:rPr>
          <w:rFonts w:ascii="Times New Roman" w:hAnsi="Times New Roman" w:cs="Times New Roman"/>
          <w:color w:val="000000"/>
          <w:sz w:val="24"/>
          <w:szCs w:val="24"/>
        </w:rPr>
        <w:t xml:space="preserve">Não se procura sustentar aqui a inexistência de motivações nas ruas de junho ao apontar esse traço antissistema. Na verdade, é trivial que vários atores, uns com mais influência e poder que outros, intencionassem produzir efeitos no cenário político. Porém, o que se afirma é justamente a miríade de intenções, por vezes opostas e em disputas. </w:t>
      </w:r>
    </w:p>
    <w:p w14:paraId="22A8D660" w14:textId="65F474B6"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Nesse sentido, antes mesmo de formar-se uma orientação ideológica capaz de guiar as ações nas vias públicas, “[…] Junho foi uma revolta dos governados contra os governantes” (</w:t>
      </w:r>
      <w:r w:rsidR="00653723" w:rsidRPr="009E3A67">
        <w:rPr>
          <w:rFonts w:ascii="Times New Roman" w:hAnsi="Times New Roman" w:cs="Times New Roman"/>
          <w:sz w:val="24"/>
          <w:szCs w:val="24"/>
        </w:rPr>
        <w:t>NUNES</w:t>
      </w:r>
      <w:r w:rsidRPr="009E3A67">
        <w:rPr>
          <w:rFonts w:ascii="Times New Roman" w:hAnsi="Times New Roman" w:cs="Times New Roman"/>
          <w:sz w:val="24"/>
          <w:szCs w:val="24"/>
        </w:rPr>
        <w:t>, 2022</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 166). Em tal confluência de insatisfações, essa revolta dos governados apresentou-se avessa ao tratamento comumente oferecido pelos atores e estamentos tradicionais às crises e reivindicações. </w:t>
      </w:r>
    </w:p>
    <w:p w14:paraId="4234F133" w14:textId="77777777" w:rsidR="00785244" w:rsidRPr="009E3A67" w:rsidRDefault="00785244" w:rsidP="008E03BB">
      <w:pPr>
        <w:spacing w:after="0" w:line="360" w:lineRule="auto"/>
        <w:ind w:firstLine="851"/>
        <w:jc w:val="both"/>
        <w:rPr>
          <w:rFonts w:ascii="Times New Roman" w:hAnsi="Times New Roman" w:cs="Times New Roman"/>
          <w:strike/>
          <w:sz w:val="24"/>
          <w:szCs w:val="24"/>
        </w:rPr>
      </w:pPr>
      <w:r w:rsidRPr="009E3A67">
        <w:rPr>
          <w:rFonts w:ascii="Times New Roman" w:hAnsi="Times New Roman" w:cs="Times New Roman"/>
          <w:sz w:val="24"/>
          <w:szCs w:val="24"/>
        </w:rPr>
        <w:t>Por isso mesmo, o impulso antissistema rechaçara a presença de partidos políticos nas movimentações de rua.</w:t>
      </w:r>
      <w:r w:rsidRPr="009E3A67">
        <w:rPr>
          <w:rStyle w:val="Refdenotaderodap"/>
          <w:rFonts w:ascii="Times New Roman" w:hAnsi="Times New Roman" w:cs="Times New Roman"/>
          <w:sz w:val="24"/>
          <w:szCs w:val="24"/>
        </w:rPr>
        <w:footnoteReference w:id="101"/>
      </w:r>
      <w:r w:rsidRPr="009E3A67">
        <w:rPr>
          <w:rFonts w:ascii="Times New Roman" w:hAnsi="Times New Roman" w:cs="Times New Roman"/>
          <w:sz w:val="24"/>
          <w:szCs w:val="24"/>
        </w:rPr>
        <w:t xml:space="preserve"> Tal recusa deu-se de modo abrangente, de sorte que não se traduzira na oposição a um governo específico ou a um partido determinado. Postura antissistema, sem dúvida, terminara por resvalar na crítica contundente ao governo de ocasião, mas esse desdobramento seria visível qualquer que fosse o ator político no poder.</w:t>
      </w:r>
      <w:r w:rsidRPr="009E3A67">
        <w:rPr>
          <w:rStyle w:val="Refdenotaderodap"/>
          <w:rFonts w:ascii="Times New Roman" w:hAnsi="Times New Roman" w:cs="Times New Roman"/>
          <w:sz w:val="24"/>
          <w:szCs w:val="24"/>
        </w:rPr>
        <w:footnoteReference w:id="102"/>
      </w:r>
      <w:r w:rsidRPr="009E3A67">
        <w:rPr>
          <w:rFonts w:ascii="Times New Roman" w:hAnsi="Times New Roman" w:cs="Times New Roman"/>
          <w:sz w:val="24"/>
          <w:szCs w:val="24"/>
        </w:rPr>
        <w:t xml:space="preserve"> Não se tratou de “[…] uma oposição a um governo determinado” (Nobre, 2022</w:t>
      </w:r>
      <w:r w:rsidR="008E03BB" w:rsidRPr="009E3A67">
        <w:rPr>
          <w:rFonts w:ascii="Times New Roman" w:hAnsi="Times New Roman" w:cs="Times New Roman"/>
          <w:sz w:val="24"/>
          <w:szCs w:val="24"/>
        </w:rPr>
        <w:t>;</w:t>
      </w:r>
      <w:r w:rsidRPr="009E3A67">
        <w:rPr>
          <w:rFonts w:ascii="Times New Roman" w:hAnsi="Times New Roman" w:cs="Times New Roman"/>
          <w:sz w:val="24"/>
          <w:szCs w:val="24"/>
        </w:rPr>
        <w:t xml:space="preserve"> 129). E é evidente que, por essas mesmas razões e, de forma contingencial, o governo petista da Presidenta Dilma Rousseff acabara aglutinando um sem-número de desaprovações. </w:t>
      </w:r>
    </w:p>
    <w:p w14:paraId="04160095"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Realidade incômoda, pois o partido que comandara boa parte das manifestações da Nova República e mantivera ligações estreitas e até mesmo a liderança de movimentos sociais desde a década de 1980 se acha contrastado com o alarido e os protestos oriundos das vias e calçadas. Novo cenário de difícil absorção pela esquerda institucional – que, por vezes, assimila por denegação e adiamento.</w:t>
      </w:r>
    </w:p>
    <w:p w14:paraId="5B20F971"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Já nos protestos do dia 6 de junho na cidade de São Paulo, no que havia de antissistema encrustava-se certa esquerda em ação não atrelada à institucionalidade. Acontece que durante a década de 2000 o PT perdera a hegemonia das ruas, em que pese não se identificarem no período grandes manifestações de massa que pressionassem de maneira substantiva o governo.</w:t>
      </w:r>
    </w:p>
    <w:p w14:paraId="1B0E4F6D" w14:textId="278E1EDF"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Em uma reconstituição factual das disputas sobre os movimentos sociais nos anos Lula (2003-2011), apesar da agenda de política públicas focalizadas e/ou redistributivas, extrai-se que o PT negligenciara a formação de uma nova geração de militantes e ativistas.</w:t>
      </w:r>
      <w:r w:rsidRPr="009E3A67">
        <w:rPr>
          <w:rStyle w:val="Refdenotaderodap"/>
          <w:rFonts w:ascii="Times New Roman" w:hAnsi="Times New Roman" w:cs="Times New Roman"/>
          <w:sz w:val="24"/>
          <w:szCs w:val="24"/>
        </w:rPr>
        <w:footnoteReference w:id="103"/>
      </w:r>
      <w:r w:rsidRPr="009E3A67">
        <w:rPr>
          <w:rFonts w:ascii="Times New Roman" w:hAnsi="Times New Roman" w:cs="Times New Roman"/>
          <w:sz w:val="24"/>
          <w:szCs w:val="24"/>
        </w:rPr>
        <w:t xml:space="preserve"> Passados alguns anos no comando da Presidência da República, “[…] o PT já aparecia para os jovens como ‘o sistema’” (</w:t>
      </w:r>
      <w:r w:rsidR="00653723" w:rsidRPr="009E3A67">
        <w:rPr>
          <w:rFonts w:ascii="Times New Roman" w:hAnsi="Times New Roman" w:cs="Times New Roman"/>
          <w:sz w:val="24"/>
          <w:szCs w:val="24"/>
        </w:rPr>
        <w:t>BARROS</w:t>
      </w:r>
      <w:r w:rsidRPr="009E3A67">
        <w:rPr>
          <w:rFonts w:ascii="Times New Roman" w:hAnsi="Times New Roman" w:cs="Times New Roman"/>
          <w:sz w:val="24"/>
          <w:szCs w:val="24"/>
        </w:rPr>
        <w:t>, 2022</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 314). Devido às contradições inerentes à política de conciliação de classes, novos movimentos do campo progressista passaram a fazer uma crítica de esquerda ao governo, atraindo a juventude universitária para suas organizações. </w:t>
      </w:r>
    </w:p>
    <w:p w14:paraId="0F09C73E" w14:textId="62D1C4B2"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Intrigante é o fato de que parcela significativa dos movimentos que fundaram o MPL e iniciaram junho possuísse ideias aproximadas ao PT dos anos 1980 – autonomistas, cuja atuação entre o socialismo e o anarquismo culminara na defesa de “[…] formas de política descentralizadas e horizontais e a subordinação dos partidos aos movimentos” (</w:t>
      </w:r>
      <w:r w:rsidR="00653723" w:rsidRPr="009E3A67">
        <w:rPr>
          <w:rFonts w:ascii="Times New Roman" w:hAnsi="Times New Roman" w:cs="Times New Roman"/>
          <w:sz w:val="24"/>
          <w:szCs w:val="24"/>
        </w:rPr>
        <w:t>BARROS</w:t>
      </w:r>
      <w:r w:rsidRPr="009E3A67">
        <w:rPr>
          <w:rFonts w:ascii="Times New Roman" w:hAnsi="Times New Roman" w:cs="Times New Roman"/>
          <w:sz w:val="24"/>
          <w:szCs w:val="24"/>
        </w:rPr>
        <w:t>, 2022</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 311). Ao proporem novas formas organização, tais movimentos intencionavam a ruptura com modelos de gestão tradicionais e hierárquicos nas aglomerações urbanas, promovendo uma intervenção mais direta e participativa.</w:t>
      </w:r>
    </w:p>
    <w:p w14:paraId="052D434F"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Seja como for, a recepção das jornadas de junho no PT foi de perplexidade</w:t>
      </w:r>
      <w:r w:rsidRPr="009E3A67">
        <w:rPr>
          <w:rStyle w:val="Refdenotaderodap"/>
          <w:rFonts w:ascii="Times New Roman" w:hAnsi="Times New Roman" w:cs="Times New Roman"/>
          <w:sz w:val="24"/>
          <w:szCs w:val="24"/>
        </w:rPr>
        <w:footnoteReference w:id="104"/>
      </w:r>
      <w:r w:rsidRPr="009E3A67">
        <w:rPr>
          <w:rFonts w:ascii="Times New Roman" w:hAnsi="Times New Roman" w:cs="Times New Roman"/>
          <w:sz w:val="24"/>
          <w:szCs w:val="24"/>
        </w:rPr>
        <w:t>– reação que demonstra a desconexão crescente entre o partido e as novas demandas sociais emergentes.  E, historicamente atrelado às lutas sociais, o PT encontrava-se numa encruzilhada: se, de um lado, promovera políticas públicas distributivas que diminuíram a pobreza extrema e trouxeram ganhos reais às classes subalternas, por outro, o partido cada vez mais adquiria a feição de establishment, identificado aos arranjos comezinhos da cena política brasileira. Dilema que reproduzia uma tensão interna entre tentar ser um agente de transformação social e a necessidade de se adaptar às regras do jogo político institucional.</w:t>
      </w:r>
    </w:p>
    <w:p w14:paraId="347BE080" w14:textId="77777777" w:rsidR="00785244" w:rsidRPr="009E3A67" w:rsidRDefault="00785244" w:rsidP="008E03BB">
      <w:pPr>
        <w:spacing w:after="0" w:line="360" w:lineRule="auto"/>
        <w:ind w:firstLine="851"/>
        <w:jc w:val="both"/>
        <w:rPr>
          <w:rFonts w:ascii="Times New Roman" w:hAnsi="Times New Roman" w:cs="Times New Roman"/>
          <w:sz w:val="24"/>
          <w:szCs w:val="24"/>
          <w:highlight w:val="yellow"/>
        </w:rPr>
      </w:pPr>
      <w:r w:rsidRPr="009E3A67">
        <w:rPr>
          <w:rFonts w:ascii="Times New Roman" w:hAnsi="Times New Roman" w:cs="Times New Roman"/>
          <w:sz w:val="24"/>
          <w:szCs w:val="24"/>
        </w:rPr>
        <w:t>Fato é que, se num primeiro momento o governo Dilma ensaiou conduzir um processo político amplo de uma Nova Constituinte, no âmbito da institucionalidade a classe política brasileira quase que integralmente optara por uma posição reativa a qualquer abertura ou reforma. Essa resistência institucional não apenas restringia as possibilidades de mudança, mas, além disso, reforçava a percepção de que o sistema político permanecia fechado em si mesmo, apartado das reivindicações populares.</w:t>
      </w:r>
      <w:r w:rsidRPr="009E3A67">
        <w:rPr>
          <w:rStyle w:val="Refdenotaderodap"/>
          <w:rFonts w:ascii="Times New Roman" w:hAnsi="Times New Roman" w:cs="Times New Roman"/>
          <w:sz w:val="24"/>
          <w:szCs w:val="24"/>
        </w:rPr>
        <w:footnoteReference w:id="105"/>
      </w:r>
      <w:r w:rsidRPr="009E3A67">
        <w:rPr>
          <w:rFonts w:ascii="Times New Roman" w:hAnsi="Times New Roman" w:cs="Times New Roman"/>
          <w:sz w:val="24"/>
          <w:szCs w:val="24"/>
        </w:rPr>
        <w:t xml:space="preserve"> </w:t>
      </w:r>
    </w:p>
    <w:p w14:paraId="0F606E30" w14:textId="05876C3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Decisão seguida pelo PT, que, atordoado pela novidade de um ciclo de protestos sem a sua orientação, preferiu, contrariamente à força antiestablishment</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que se vira nas ruas, “[…] cerrar fileiras com o sistema político” (</w:t>
      </w:r>
      <w:r w:rsidR="00653723" w:rsidRPr="009E3A67">
        <w:rPr>
          <w:rFonts w:ascii="Times New Roman" w:hAnsi="Times New Roman" w:cs="Times New Roman"/>
          <w:sz w:val="24"/>
          <w:szCs w:val="24"/>
        </w:rPr>
        <w:t>NOBRE</w:t>
      </w:r>
      <w:r w:rsidRPr="009E3A67">
        <w:rPr>
          <w:rFonts w:ascii="Times New Roman" w:hAnsi="Times New Roman" w:cs="Times New Roman"/>
          <w:sz w:val="24"/>
          <w:szCs w:val="24"/>
        </w:rPr>
        <w:t>, 2022</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 130). O resultado dessa recusa do sistema político de iniciar uma autorreforma significou a interdição da energia social dispersa de intervir diretamente na institucionalidade. É o tipo de postura que não apenas alienava as organizações e movimentos, já que enfraquecia a capacidade do PT de se reinventar – aproximando-se das novas formas de intervenção política – e se reconectar – com suas bases históricas.</w:t>
      </w:r>
    </w:p>
    <w:p w14:paraId="016FD932"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A reação da esquerda institucional fora extremamente negativa, embora houvesse uma alternativa para evitar o desfecho desfavorável. O partido poderia ter se atribuído o papel de porta-voz e intermediário das manifestações populares. Para isso, o PT precisaria ter se desvinculado do arranjo confortável que ocupava no cenário político brasileiro há anos. No entanto, o governo e o PT encerraram os canais de diálogo, até mesmo com setores da própria esquerda.</w:t>
      </w:r>
    </w:p>
    <w:p w14:paraId="3AEBF7A8"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Em vez de servir como via para que o descontentamento pudesse ter lugar e influir no cenário político, de modo a renegociar inclusive sua hegemonia própria no campo progressista e abrir ambientes de comunicação com formas atualizadas de organização, o PT sedimentara seu papel de defensor do sistema político. Essa estratégia, questionável mesmo dentro do contexto de manutenção do poder, produzira consequências profundas para a dinâmica política. Sua postura, muitas vezes, importou na desqualificação virulenta das manifestações. Adotada a tática defensiva, o partido não somente se afastava de suas raízes, assim como deixava de reconhecer a legitimidade das novas formas de mobilização social.</w:t>
      </w:r>
      <w:r w:rsidRPr="009E3A67">
        <w:rPr>
          <w:rStyle w:val="Refdenotaderodap"/>
          <w:rFonts w:ascii="Times New Roman" w:hAnsi="Times New Roman" w:cs="Times New Roman"/>
          <w:sz w:val="24"/>
          <w:szCs w:val="24"/>
        </w:rPr>
        <w:footnoteReference w:id="106"/>
      </w:r>
    </w:p>
    <w:p w14:paraId="0988AD1F" w14:textId="77777777"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Posicionamento de encastelar-se por parte do PT junto às forças tradicionais avessas à transformação social não gerou apenas ferimentos leves. Reduzira enormemente o campo de ação da esquerda não institucional (universitários, autonomistas/anarquistas, neossocialistas etc.), haja vista existir o inconveniente de um partido de esquerda ocupar o posto mais alto do Poder Executivo. Essa situação ocasionava um impasse: enquanto o PT estava no poder, o campo progressista em sentido amplo se via impossibilitado de questionar o governo sem parecer que apoiava a oposição de direita. Estreita via de intervenção política, pois era preciso levar em conta que a crítica contundente ao governo não poderia sugerir uma espécie de assentimento à oposição das direitas – mesmo porque, apesar das suas contradições, o PT possuía diferenças substantivas em relação ao restante dos atores políticos, sobretudo quanto à questão social.</w:t>
      </w:r>
      <w:r w:rsidRPr="009E3A67">
        <w:rPr>
          <w:rStyle w:val="Refdenotaderodap"/>
          <w:rFonts w:ascii="Times New Roman" w:hAnsi="Times New Roman" w:cs="Times New Roman"/>
          <w:sz w:val="24"/>
          <w:szCs w:val="24"/>
        </w:rPr>
        <w:footnoteReference w:id="107"/>
      </w:r>
    </w:p>
    <w:p w14:paraId="5B6628F8" w14:textId="28628560" w:rsidR="00785244" w:rsidRPr="009E3A67" w:rsidRDefault="00785244" w:rsidP="008E03BB">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Ainda que a esquerda não petista tivesse acendido o pavio que desencadeara um evento de massas e vira “[…] em Junho um potencial de transformação da democracia brasileira” (</w:t>
      </w:r>
      <w:r w:rsidR="00653723" w:rsidRPr="009E3A67">
        <w:rPr>
          <w:rFonts w:ascii="Times New Roman" w:hAnsi="Times New Roman" w:cs="Times New Roman"/>
          <w:sz w:val="24"/>
          <w:szCs w:val="24"/>
        </w:rPr>
        <w:t>NOBRE</w:t>
      </w:r>
      <w:r w:rsidRPr="009E3A67">
        <w:rPr>
          <w:rFonts w:ascii="Times New Roman" w:hAnsi="Times New Roman" w:cs="Times New Roman"/>
          <w:sz w:val="24"/>
          <w:szCs w:val="24"/>
        </w:rPr>
        <w:t>, 2022</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 xml:space="preserve"> 18), faltava a ela a força suficiente para pressionar o governo a uma tomada de direção em favor de um reformismo profundo. Sem via institucional que servisse como suporte às demandas advindas dos protestos, parte do campo progressista que fora às ruas inclinara-se a abandonar o processo. E quem à esquerda resolvera permanecer disputando o sentido das insurgências teve de se defrontar com uma realidade em que não haveria nenhum apoio da esquerda institucional. </w:t>
      </w:r>
    </w:p>
    <w:p w14:paraId="793EA076" w14:textId="77777777" w:rsidR="00785244" w:rsidRPr="009E3A67" w:rsidRDefault="00785244" w:rsidP="008E03BB">
      <w:pPr>
        <w:spacing w:after="0" w:line="360" w:lineRule="auto"/>
        <w:ind w:firstLine="851"/>
        <w:jc w:val="both"/>
        <w:rPr>
          <w:rFonts w:ascii="Times New Roman" w:hAnsi="Times New Roman" w:cs="Times New Roman"/>
          <w:color w:val="000000"/>
          <w:sz w:val="24"/>
          <w:szCs w:val="24"/>
        </w:rPr>
      </w:pPr>
      <w:r w:rsidRPr="009E3A67">
        <w:rPr>
          <w:rFonts w:ascii="Times New Roman" w:hAnsi="Times New Roman" w:cs="Times New Roman"/>
          <w:sz w:val="24"/>
          <w:szCs w:val="24"/>
        </w:rPr>
        <w:t>Tolhida a esquerda não institucional em suas capacidades de canalização e adensamento, encerrada a esquerda institucional juntamente à blindagem do sistema político, não é difícil supor que o impulso antissistema, característica historicamente congênita às esquerdas, fosse transposta então para as direitas que se disponibilizaram a concorrer pela significação dos eventos.</w:t>
      </w:r>
      <w:r w:rsidRPr="009E3A67">
        <w:rPr>
          <w:rStyle w:val="Refdenotaderodap"/>
          <w:rFonts w:ascii="Times New Roman" w:hAnsi="Times New Roman" w:cs="Times New Roman"/>
          <w:sz w:val="24"/>
          <w:szCs w:val="24"/>
        </w:rPr>
        <w:footnoteReference w:id="108"/>
      </w:r>
      <w:r w:rsidRPr="009E3A67">
        <w:rPr>
          <w:rFonts w:ascii="Times New Roman" w:hAnsi="Times New Roman" w:cs="Times New Roman"/>
          <w:sz w:val="24"/>
          <w:szCs w:val="24"/>
        </w:rPr>
        <w:t xml:space="preserve"> Diante da massa insurgente naquele período, as chances reais de a esquerda brasileira canalizar a energia insurrecional achavam-se numa ação comparticipada. </w:t>
      </w:r>
      <w:r w:rsidRPr="009E3A67">
        <w:rPr>
          <w:rFonts w:ascii="Times New Roman" w:hAnsi="Times New Roman" w:cs="Times New Roman"/>
          <w:color w:val="000000"/>
          <w:sz w:val="24"/>
          <w:szCs w:val="24"/>
        </w:rPr>
        <w:t xml:space="preserve">Mas não houve algo próximo a esse tipo de solidariedade histórica. </w:t>
      </w:r>
    </w:p>
    <w:p w14:paraId="729EBE0F" w14:textId="26FECFA7" w:rsidR="00785244" w:rsidRPr="009E3A67" w:rsidRDefault="00785244" w:rsidP="008E03BB">
      <w:pPr>
        <w:spacing w:line="360" w:lineRule="auto"/>
        <w:ind w:firstLine="851"/>
        <w:jc w:val="both"/>
        <w:rPr>
          <w:rFonts w:ascii="Times New Roman" w:hAnsi="Times New Roman" w:cs="Times New Roman"/>
          <w:sz w:val="24"/>
          <w:szCs w:val="24"/>
        </w:rPr>
      </w:pPr>
      <w:r w:rsidRPr="009E3A67">
        <w:rPr>
          <w:rFonts w:ascii="Times New Roman" w:hAnsi="Times New Roman" w:cs="Times New Roman"/>
          <w:color w:val="000000"/>
          <w:sz w:val="24"/>
          <w:szCs w:val="24"/>
        </w:rPr>
        <w:t xml:space="preserve">Indica-se, pois, uma derrota da esquerda, porquanto, se a esquerda não petista se encontrava sufocada, e com PT identificado ao establishment, permitiu-se o estabelecimento de um espaço </w:t>
      </w:r>
      <w:r w:rsidRPr="009E3A67">
        <w:rPr>
          <w:rFonts w:ascii="Times New Roman" w:hAnsi="Times New Roman" w:cs="Times New Roman"/>
          <w:sz w:val="24"/>
          <w:szCs w:val="24"/>
        </w:rPr>
        <w:t>“[…] para que a direita pudesse se reivindicar como legítima herdeira de 2013” (</w:t>
      </w:r>
      <w:r w:rsidR="00653723" w:rsidRPr="009E3A67">
        <w:rPr>
          <w:rFonts w:ascii="Times New Roman" w:hAnsi="Times New Roman" w:cs="Times New Roman"/>
          <w:sz w:val="24"/>
          <w:szCs w:val="24"/>
        </w:rPr>
        <w:t>NUNES</w:t>
      </w:r>
      <w:r w:rsidRPr="009E3A67">
        <w:rPr>
          <w:rFonts w:ascii="Times New Roman" w:hAnsi="Times New Roman" w:cs="Times New Roman"/>
          <w:sz w:val="24"/>
          <w:szCs w:val="24"/>
        </w:rPr>
        <w:t>, 2022</w:t>
      </w:r>
      <w:r w:rsidR="00653723" w:rsidRPr="009E3A67">
        <w:rPr>
          <w:rFonts w:ascii="Times New Roman" w:hAnsi="Times New Roman" w:cs="Times New Roman"/>
          <w:sz w:val="24"/>
          <w:szCs w:val="24"/>
        </w:rPr>
        <w:t>:</w:t>
      </w:r>
      <w:r w:rsidRPr="009E3A67">
        <w:rPr>
          <w:rFonts w:ascii="Times New Roman" w:hAnsi="Times New Roman" w:cs="Times New Roman"/>
          <w:sz w:val="24"/>
          <w:szCs w:val="24"/>
        </w:rPr>
        <w:t>187). No entanto, ressalta-se mais uma vez que nada disso estava previamente garantido.</w:t>
      </w:r>
    </w:p>
    <w:p w14:paraId="3FFB8DF7" w14:textId="77777777" w:rsidR="00653723" w:rsidRPr="009E3A67" w:rsidRDefault="00653723" w:rsidP="008E03BB">
      <w:pPr>
        <w:spacing w:line="360" w:lineRule="auto"/>
        <w:ind w:firstLine="851"/>
        <w:jc w:val="both"/>
        <w:rPr>
          <w:rFonts w:ascii="Times New Roman" w:hAnsi="Times New Roman" w:cs="Times New Roman"/>
          <w:sz w:val="24"/>
          <w:szCs w:val="24"/>
        </w:rPr>
      </w:pPr>
    </w:p>
    <w:p w14:paraId="4EEE3491" w14:textId="77777777" w:rsidR="00785244" w:rsidRPr="009E3A67" w:rsidRDefault="008E03BB" w:rsidP="00785244">
      <w:pPr>
        <w:rPr>
          <w:rFonts w:ascii="Times New Roman" w:hAnsi="Times New Roman" w:cs="Times New Roman"/>
          <w:b/>
          <w:sz w:val="24"/>
          <w:szCs w:val="24"/>
        </w:rPr>
      </w:pPr>
      <w:r w:rsidRPr="009E3A67">
        <w:rPr>
          <w:rFonts w:ascii="Times New Roman" w:hAnsi="Times New Roman" w:cs="Times New Roman"/>
          <w:b/>
          <w:bCs/>
          <w:sz w:val="24"/>
          <w:szCs w:val="24"/>
        </w:rPr>
        <w:t>4. JUNHO DE 2013</w:t>
      </w:r>
      <w:r w:rsidRPr="009E3A67">
        <w:rPr>
          <w:rFonts w:ascii="Times New Roman" w:hAnsi="Times New Roman" w:cs="Times New Roman"/>
          <w:b/>
          <w:sz w:val="24"/>
          <w:szCs w:val="24"/>
        </w:rPr>
        <w:t>: O ACÚMULO SILENCIOSO QUE EXPLODIU EM PROTESTOS</w:t>
      </w:r>
    </w:p>
    <w:p w14:paraId="236386E7" w14:textId="77777777" w:rsidR="00785244" w:rsidRPr="009E3A67" w:rsidRDefault="00785244" w:rsidP="007B6228">
      <w:pPr>
        <w:spacing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Problema contíguo às direitas terem logrado com o legado da multidão desperta em 2013 alude propriamente à tese do</w:t>
      </w:r>
      <w:r w:rsidRPr="009E3A67">
        <w:rPr>
          <w:rFonts w:ascii="Times New Roman" w:hAnsi="Times New Roman" w:cs="Times New Roman"/>
          <w:i/>
          <w:iCs/>
          <w:sz w:val="24"/>
          <w:szCs w:val="24"/>
        </w:rPr>
        <w:t xml:space="preserve"> </w:t>
      </w:r>
      <w:r w:rsidRPr="009E3A67">
        <w:rPr>
          <w:rFonts w:ascii="Times New Roman" w:hAnsi="Times New Roman" w:cs="Times New Roman"/>
          <w:sz w:val="24"/>
          <w:szCs w:val="24"/>
        </w:rPr>
        <w:t xml:space="preserve">ovo da serpente que se pretende contraditar. Em vez de um balanço acerca dos desacertos das esquerdas, prefere-se condenar junho integralmente, além de introjetar um ponto de vista quase como que idílico acerca do período anterior às jornadas. Assunção acrítica deixa de lado a reflexão sobre os equívocos do campo progressista enquanto comandara a Presidência da República. Posicionamento que serve como justificação dos erros da esquerda institucional, em especial em não mobilizar a energia social para o enfrentamento da política oficial. De novo, é como se as direitas sempre estivessem destinadas a vencer – tal qual um fenômeno da natureza –, e não caberia à esquerda institucionalizada oferecer alternativas que captassem as pautas das ruas. Diz respeito à: </w:t>
      </w:r>
    </w:p>
    <w:p w14:paraId="3C3B18CC" w14:textId="515F235D" w:rsidR="00785244" w:rsidRPr="009E3A67" w:rsidRDefault="00785244" w:rsidP="007B6228">
      <w:pPr>
        <w:spacing w:before="240"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 incapacidade da esquerda então no poder federal – bem como do conjunto do campo progressista, de maneira mais ampla – de dar uma resposta inovadora a Junho. O que, no caso, equivale simultaneamente a uma justificativa e a uma justificação para as decisões táticas e estratégicas que caracterizaram os anos de governo petista (</w:t>
      </w:r>
      <w:r w:rsidR="00653723" w:rsidRPr="009E3A67">
        <w:rPr>
          <w:rFonts w:ascii="Times New Roman" w:hAnsi="Times New Roman" w:cs="Times New Roman"/>
          <w:sz w:val="20"/>
          <w:szCs w:val="20"/>
        </w:rPr>
        <w:t>NOBRE</w:t>
      </w:r>
      <w:r w:rsidRPr="009E3A67">
        <w:rPr>
          <w:rFonts w:ascii="Times New Roman" w:hAnsi="Times New Roman" w:cs="Times New Roman"/>
          <w:sz w:val="20"/>
          <w:szCs w:val="20"/>
        </w:rPr>
        <w:t>, 2022</w:t>
      </w:r>
      <w:r w:rsidR="00653723" w:rsidRPr="009E3A67">
        <w:rPr>
          <w:rFonts w:ascii="Times New Roman" w:hAnsi="Times New Roman" w:cs="Times New Roman"/>
          <w:sz w:val="20"/>
          <w:szCs w:val="20"/>
        </w:rPr>
        <w:t>:</w:t>
      </w:r>
      <w:r w:rsidRPr="009E3A67">
        <w:rPr>
          <w:rFonts w:ascii="Times New Roman" w:hAnsi="Times New Roman" w:cs="Times New Roman"/>
          <w:sz w:val="20"/>
          <w:szCs w:val="20"/>
        </w:rPr>
        <w:t xml:space="preserve"> 136).</w:t>
      </w:r>
    </w:p>
    <w:p w14:paraId="42330B86" w14:textId="77777777" w:rsidR="00785244" w:rsidRPr="009E3A67" w:rsidRDefault="00785244" w:rsidP="007B6228">
      <w:pPr>
        <w:spacing w:before="240"/>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Trata-se de uma defesa acrítica da institucionalidade petista e seus acordos com os amplos setores da política tradicional. Por essa posição, costuma-se indicar a existência de uma onda conservadora que de tão arrebatadora não restaria muito a fazer pela via da esquerda. Versão arrevesada, posto que obscurece da disputa que fora travada precisamente o que havia de desatino em táticas e estratégias das esquerdas, não só em 2013, mas ao longo dos anos em que comandou o Poder Executivo. </w:t>
      </w:r>
    </w:p>
    <w:p w14:paraId="3B4DDD1C" w14:textId="3F9EA14E" w:rsidR="00785244" w:rsidRPr="009E3A67" w:rsidRDefault="00785244" w:rsidP="007B6228">
      <w:pPr>
        <w:spacing w:before="240" w:line="240" w:lineRule="auto"/>
        <w:ind w:left="2268"/>
        <w:jc w:val="both"/>
        <w:rPr>
          <w:rFonts w:ascii="Times New Roman" w:hAnsi="Times New Roman" w:cs="Times New Roman"/>
          <w:sz w:val="20"/>
          <w:szCs w:val="18"/>
        </w:rPr>
      </w:pPr>
      <w:r w:rsidRPr="009E3A67">
        <w:rPr>
          <w:rFonts w:ascii="Times New Roman" w:hAnsi="Times New Roman" w:cs="Times New Roman"/>
          <w:sz w:val="20"/>
          <w:szCs w:val="18"/>
        </w:rPr>
        <w:t xml:space="preserve">[…] sistema encarou as revoltas de Junho como uma explosão de insatisfação que iria passar em algum momento. O </w:t>
      </w:r>
      <w:r w:rsidR="00653723" w:rsidRPr="009E3A67">
        <w:rPr>
          <w:rFonts w:ascii="Times New Roman" w:hAnsi="Times New Roman" w:cs="Times New Roman"/>
          <w:sz w:val="20"/>
          <w:szCs w:val="18"/>
        </w:rPr>
        <w:t>PT</w:t>
      </w:r>
      <w:r w:rsidRPr="009E3A67">
        <w:rPr>
          <w:rFonts w:ascii="Times New Roman" w:hAnsi="Times New Roman" w:cs="Times New Roman"/>
          <w:sz w:val="20"/>
          <w:szCs w:val="18"/>
        </w:rPr>
        <w:t xml:space="preserve"> e parte da esquerda interpretaram as revoltas como manifestações de direita ou mesmo como de caráter protofascista, potencialmente danosas, portanto, ao projeto de que o </w:t>
      </w:r>
      <w:r w:rsidR="00653723" w:rsidRPr="009E3A67">
        <w:rPr>
          <w:rFonts w:ascii="Times New Roman" w:hAnsi="Times New Roman" w:cs="Times New Roman"/>
          <w:sz w:val="20"/>
          <w:szCs w:val="18"/>
        </w:rPr>
        <w:t>PT</w:t>
      </w:r>
      <w:r w:rsidRPr="009E3A67">
        <w:rPr>
          <w:rFonts w:ascii="Times New Roman" w:hAnsi="Times New Roman" w:cs="Times New Roman"/>
          <w:sz w:val="20"/>
          <w:szCs w:val="18"/>
        </w:rPr>
        <w:t xml:space="preserve"> seria o portador e condutor inconteste (</w:t>
      </w:r>
      <w:r w:rsidR="00653723" w:rsidRPr="009E3A67">
        <w:rPr>
          <w:rFonts w:ascii="Times New Roman" w:hAnsi="Times New Roman" w:cs="Times New Roman"/>
          <w:sz w:val="20"/>
          <w:szCs w:val="18"/>
        </w:rPr>
        <w:t>NOBRE</w:t>
      </w:r>
      <w:r w:rsidRPr="009E3A67">
        <w:rPr>
          <w:rFonts w:ascii="Times New Roman" w:hAnsi="Times New Roman" w:cs="Times New Roman"/>
          <w:sz w:val="20"/>
          <w:szCs w:val="18"/>
        </w:rPr>
        <w:t>, 2016</w:t>
      </w:r>
      <w:r w:rsidR="00653723" w:rsidRPr="009E3A67">
        <w:rPr>
          <w:rFonts w:ascii="Times New Roman" w:hAnsi="Times New Roman" w:cs="Times New Roman"/>
          <w:sz w:val="20"/>
          <w:szCs w:val="18"/>
        </w:rPr>
        <w:t>:</w:t>
      </w:r>
      <w:r w:rsidRPr="009E3A67">
        <w:rPr>
          <w:rFonts w:ascii="Times New Roman" w:hAnsi="Times New Roman" w:cs="Times New Roman"/>
          <w:sz w:val="20"/>
          <w:szCs w:val="18"/>
        </w:rPr>
        <w:t xml:space="preserve"> 145).</w:t>
      </w:r>
    </w:p>
    <w:p w14:paraId="35285550" w14:textId="77777777" w:rsidR="00785244" w:rsidRPr="009E3A67" w:rsidRDefault="00785244" w:rsidP="007B6228">
      <w:pPr>
        <w:spacing w:before="240"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Em outras palavras, ao que tudo indica, há em parte da esquerda brasileira ligada à institucionalidade dos anos 2000 algo como um melindre retrospectivo, que toma como utópicas e irrealistas quaisquer objeções à política de conciliação de classes praticada nos governos petistas. Essa atitude, avessa à crítica pela via da própria esquerda, termina como justificativa para as escolhas políticas do período e expressa um caráter fatalista – o que aconteceu naqueles anos não poderia ter se dado de outra maneira.</w:t>
      </w:r>
      <w:r w:rsidRPr="009E3A67">
        <w:rPr>
          <w:rStyle w:val="Refdenotaderodap"/>
          <w:rFonts w:ascii="Times New Roman" w:hAnsi="Times New Roman" w:cs="Times New Roman"/>
          <w:sz w:val="24"/>
          <w:szCs w:val="24"/>
        </w:rPr>
        <w:footnoteReference w:id="109"/>
      </w:r>
    </w:p>
    <w:p w14:paraId="675DA53E" w14:textId="77777777"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Provoca-se, assim, um efeito deletério para o debate dentro do próprio campo progressista, pois, se junho condiz com a antipolítica e com o limiar do novo extremismo de direita, infere-se que o </w:t>
      </w:r>
      <w:r w:rsidRPr="009E3A67">
        <w:rPr>
          <w:rFonts w:ascii="Times New Roman" w:hAnsi="Times New Roman" w:cs="Times New Roman"/>
          <w:i/>
          <w:iCs/>
          <w:sz w:val="24"/>
          <w:szCs w:val="24"/>
        </w:rPr>
        <w:t>status quo ante</w:t>
      </w:r>
      <w:r w:rsidRPr="009E3A67">
        <w:rPr>
          <w:rFonts w:ascii="Times New Roman" w:hAnsi="Times New Roman" w:cs="Times New Roman"/>
          <w:sz w:val="24"/>
          <w:szCs w:val="24"/>
        </w:rPr>
        <w:t xml:space="preserve"> seria a política propriamente dita – correndo-se, então, o risco de sua aceitação cínica, sem questionar suas contradições imanentes e estruturais. </w:t>
      </w:r>
    </w:p>
    <w:p w14:paraId="0E992ACC" w14:textId="77777777"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Incide no erro de não considerar, por exemplo, o abandono da esquerda institucional da luta por pautas históricas a fim de manter coesa sua base de sustentação no Congresso Nacional, tal como na discussão acerca do combate à homofobia por meio de material inclusivo a ser distribuído em escolas públicas. Ou ainda a capitulação em torno da temática da transição energética e das mudanças climáticas, sobretudo quanto à polêmica da construção da Usina Hidrelétrica de Belo Monte. </w:t>
      </w:r>
    </w:p>
    <w:p w14:paraId="250B7D79" w14:textId="77777777"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Em muitos casos, houve uma espécie de rendição sem sequer fazer um debate abrangente, que envolvesse amplos setores da sociedade civil. Perdeu-se a disputa ideológica em variados temas ao adotar tática de não desagradar a base social conservadora, confiando na aposta de que frações mais amplas do eleitorado permaneceriam progressistas e votariam nas esquerdas quaisquer que fossem as circunstâncias. </w:t>
      </w:r>
    </w:p>
    <w:p w14:paraId="44D948A0" w14:textId="77777777" w:rsidR="00785244" w:rsidRPr="009E3A67" w:rsidRDefault="00785244" w:rsidP="007B6228">
      <w:pPr>
        <w:spacing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Esse assentimento quase que integral dos governos petistas se reveste de um apelo nostálgico. Diante de um presente indesejado, representa-se um passado idealizado – mas que já não pode ser restaurado.</w:t>
      </w:r>
      <w:r w:rsidRPr="009E3A67">
        <w:rPr>
          <w:rFonts w:ascii="Times New Roman" w:hAnsi="Times New Roman" w:cs="Times New Roman"/>
          <w:sz w:val="24"/>
          <w:szCs w:val="24"/>
          <w:vertAlign w:val="superscript"/>
        </w:rPr>
        <w:footnoteReference w:id="110"/>
      </w:r>
      <w:r w:rsidRPr="009E3A67">
        <w:rPr>
          <w:rFonts w:ascii="Times New Roman" w:hAnsi="Times New Roman" w:cs="Times New Roman"/>
          <w:sz w:val="24"/>
          <w:szCs w:val="24"/>
        </w:rPr>
        <w:t xml:space="preserve"> Mudanças estruturais já desde a crise do subprime em 2008 – que abalaram o consenso neoliberal e acarretaram uma crise de legitimidade das formas de representação política – interditam justamente as condições de retorno aos moldes anteriores. Transformações globais que também possuem lugar no Brasil, cujos modelos de conciliação de classes e de governabilidade parecem ter alcançado seu termo. </w:t>
      </w:r>
    </w:p>
    <w:p w14:paraId="5EC3E868" w14:textId="77777777"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E é nesse cenário que a extrema direita se acostumou a ter êxito, já que o campo progressista, imerso numa nostalgia paralisante – agarrado àquilo que não pode ser reabilitado –, limita-se a apontar uma volta ao estado de coisas anterior, o que se constitui na ausência de um projeto político compatibilizado com a nova conjuntura. </w:t>
      </w:r>
    </w:p>
    <w:p w14:paraId="1CB7C629" w14:textId="77777777"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Mas mesmo esse retorno, obstruído em razão de transformações estruturais, envolve-se de certo turvamento. Uma análise minuciosa deve considerar se uma reanimação do modelo anterior é desejável. Como parte da esquerda brasileira tem como pressuposto que a investida conservadora – que culminou na eleição da extrema direita – constituiu-se numa reação à redução da desigualdade, faz sentido tangenciar</w:t>
      </w:r>
      <w:r w:rsidRPr="009E3A67">
        <w:rPr>
          <w:rStyle w:val="Refdenotaderodap"/>
          <w:rFonts w:ascii="Times New Roman" w:hAnsi="Times New Roman" w:cs="Times New Roman"/>
          <w:sz w:val="24"/>
          <w:szCs w:val="24"/>
        </w:rPr>
        <w:footnoteReference w:id="111"/>
      </w:r>
      <w:r w:rsidRPr="009E3A67">
        <w:rPr>
          <w:rFonts w:ascii="Times New Roman" w:hAnsi="Times New Roman" w:cs="Times New Roman"/>
          <w:sz w:val="24"/>
          <w:szCs w:val="24"/>
        </w:rPr>
        <w:t xml:space="preserve"> em que termos se deram as políticas públicas e a condução macroeconômica.</w:t>
      </w:r>
    </w:p>
    <w:p w14:paraId="5139C758" w14:textId="77777777"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Ainda que se reconheçam, entre 2003 e 2012, a ascensão social de milhares de pessoas, a elevação do salário-mínimo acima da inflação, o aumento da capacidade de consumo das famílias, a ampliação de mecanismos de proteção social (a exemplo do Programa Bolsa Família), a expansão das universidades federais e a consolidação do crédito em relação ao Produto Interno Bruto (PIB), uma avaliação menos comprometida com a defesa integral do período possui a virtude de não o condenar, sem, com isso, deixar de ao menos mencionar algumas contradições.</w:t>
      </w:r>
      <w:r w:rsidRPr="009E3A67">
        <w:rPr>
          <w:rStyle w:val="Refdenotaderodap"/>
          <w:rFonts w:ascii="Times New Roman" w:hAnsi="Times New Roman" w:cs="Times New Roman"/>
          <w:sz w:val="24"/>
          <w:szCs w:val="24"/>
        </w:rPr>
        <w:footnoteReference w:id="112"/>
      </w:r>
    </w:p>
    <w:p w14:paraId="30A15A81" w14:textId="77777777"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O modelo adotado de social-desenvolvimentismo</w:t>
      </w:r>
      <w:r w:rsidRPr="009E3A67">
        <w:rPr>
          <w:rStyle w:val="Refdenotaderodap"/>
          <w:rFonts w:ascii="Times New Roman" w:hAnsi="Times New Roman" w:cs="Times New Roman"/>
          <w:sz w:val="24"/>
          <w:szCs w:val="24"/>
        </w:rPr>
        <w:footnoteReference w:id="113"/>
      </w:r>
      <w:r w:rsidRPr="009E3A67">
        <w:rPr>
          <w:rFonts w:ascii="Times New Roman" w:hAnsi="Times New Roman" w:cs="Times New Roman"/>
          <w:sz w:val="24"/>
          <w:szCs w:val="24"/>
        </w:rPr>
        <w:t>, caracterizado pela associação entre Estado – principal investidor da economia – e burguesia nacional, notabilizou-se pela tentativa de fortalecimento do mercado interno, em especial pela inserção das classes sociais mais empobrecidas no consumo.</w:t>
      </w:r>
    </w:p>
    <w:p w14:paraId="3919D10B" w14:textId="747B1163"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Dinâmica que sem dúvida </w:t>
      </w:r>
      <w:r w:rsidR="007B6228" w:rsidRPr="009E3A67">
        <w:rPr>
          <w:rFonts w:ascii="Times New Roman" w:hAnsi="Times New Roman" w:cs="Times New Roman"/>
          <w:sz w:val="24"/>
          <w:szCs w:val="24"/>
        </w:rPr>
        <w:t>permitirá</w:t>
      </w:r>
      <w:r w:rsidRPr="009E3A67">
        <w:rPr>
          <w:rFonts w:ascii="Times New Roman" w:hAnsi="Times New Roman" w:cs="Times New Roman"/>
          <w:sz w:val="24"/>
          <w:szCs w:val="24"/>
        </w:rPr>
        <w:t xml:space="preserve"> alavancar a integração dos mais pobres à economia. Mas é preciso nuançar seu pretenso êxito. Não resta “[…] </w:t>
      </w:r>
      <w:r w:rsidRPr="009E3A67">
        <w:rPr>
          <w:rFonts w:ascii="Times New Roman" w:hAnsi="Times New Roman" w:cs="Times New Roman"/>
          <w:color w:val="000000"/>
          <w:sz w:val="24"/>
          <w:szCs w:val="24"/>
        </w:rPr>
        <w:t>estabelecido que houve de fato diminuição da desigualdade […]  ao longo dos governos petistas” (</w:t>
      </w:r>
      <w:r w:rsidR="009B53C7" w:rsidRPr="009E3A67">
        <w:rPr>
          <w:rFonts w:ascii="Times New Roman" w:hAnsi="Times New Roman" w:cs="Times New Roman"/>
          <w:color w:val="000000"/>
          <w:sz w:val="24"/>
          <w:szCs w:val="24"/>
        </w:rPr>
        <w:t>NOBRE</w:t>
      </w:r>
      <w:r w:rsidRPr="009E3A67">
        <w:rPr>
          <w:rFonts w:ascii="Times New Roman" w:hAnsi="Times New Roman" w:cs="Times New Roman"/>
          <w:color w:val="000000"/>
          <w:sz w:val="24"/>
          <w:szCs w:val="24"/>
        </w:rPr>
        <w:t>, 2022</w:t>
      </w:r>
      <w:r w:rsidR="009B53C7" w:rsidRPr="009E3A67">
        <w:rPr>
          <w:rFonts w:ascii="Times New Roman" w:hAnsi="Times New Roman" w:cs="Times New Roman"/>
          <w:color w:val="000000"/>
          <w:sz w:val="24"/>
          <w:szCs w:val="24"/>
        </w:rPr>
        <w:t>:</w:t>
      </w:r>
      <w:r w:rsidRPr="009E3A67">
        <w:rPr>
          <w:rFonts w:ascii="Times New Roman" w:hAnsi="Times New Roman" w:cs="Times New Roman"/>
          <w:color w:val="000000"/>
          <w:sz w:val="24"/>
          <w:szCs w:val="24"/>
        </w:rPr>
        <w:t xml:space="preserve"> 137). </w:t>
      </w:r>
      <w:r w:rsidRPr="009E3A67">
        <w:rPr>
          <w:rFonts w:ascii="Times New Roman" w:hAnsi="Times New Roman" w:cs="Times New Roman"/>
          <w:sz w:val="24"/>
          <w:szCs w:val="24"/>
        </w:rPr>
        <w:t>Nem mesmo parece desarrazoado dizer que possivelmente não se viram políticas reais de combate à desigualdade. Hipótese mais plausível reside em afirmar que o país conhecera “[…] políticas de capitalização da classe mais pobre” (</w:t>
      </w:r>
      <w:r w:rsidR="009B53C7" w:rsidRPr="009E3A67">
        <w:rPr>
          <w:rFonts w:ascii="Times New Roman" w:hAnsi="Times New Roman" w:cs="Times New Roman"/>
          <w:sz w:val="24"/>
          <w:szCs w:val="24"/>
        </w:rPr>
        <w:t>SAFATLE</w:t>
      </w:r>
      <w:r w:rsidRPr="009E3A67">
        <w:rPr>
          <w:rFonts w:ascii="Times New Roman" w:hAnsi="Times New Roman" w:cs="Times New Roman"/>
          <w:sz w:val="24"/>
          <w:szCs w:val="24"/>
        </w:rPr>
        <w:t>, 2015</w:t>
      </w:r>
      <w:r w:rsidR="009B53C7" w:rsidRPr="009E3A67">
        <w:rPr>
          <w:rFonts w:ascii="Times New Roman" w:hAnsi="Times New Roman" w:cs="Times New Roman"/>
          <w:sz w:val="24"/>
          <w:szCs w:val="24"/>
        </w:rPr>
        <w:t>:</w:t>
      </w:r>
      <w:r w:rsidRPr="009E3A67">
        <w:rPr>
          <w:rFonts w:ascii="Times New Roman" w:hAnsi="Times New Roman" w:cs="Times New Roman"/>
          <w:sz w:val="24"/>
          <w:szCs w:val="24"/>
        </w:rPr>
        <w:t xml:space="preserve"> 73).</w:t>
      </w:r>
    </w:p>
    <w:p w14:paraId="2E756618" w14:textId="77777777"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Nesse arranjo socioeconômico, o processo de acumulação pende a combalir os instrumentos de combate à desigualdade. O ato contínuo se efetiva com o crescimento dos rendimentos das classes mais abastadas, cujos ganhos permaneceram preservados. Não obstante a mencionada ascensão social de contingente relevante da população brasileira, acentuaram-se os níveis de desigualdade. Conquanto a riqueza gerada circule entre grupos endinheirados bastante restritos, o governo se mostrara inábil em implementar uma política fiscal progressiva e incapaz de construir mecanismos de correção da disparidade social. O resultado fora a deterioração acelerada do poder de compra das classes mais baixas – que se viram pressionadas pelo custo de vida normatizado pela parcela mais abastada.</w:t>
      </w:r>
    </w:p>
    <w:p w14:paraId="68DA6B0D" w14:textId="77777777"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A despeito da geração de empregos e da política de relativa valorização do salário-mínimo, indica-se que a maior parte dos postos de trabalho criados pagava pouco mais que um salário. Situação que poderia ter sido atenuada a contar da ampliação e do aumento da qualidade de serviços sociais públicos e gratuitos. Mas as classes que ascenderam socialmente se encontravam numa realidade penosa: para garantir essa ascensão conquistada, havia a necessidade de arcar com os custos de educação e saúde </w:t>
      </w:r>
      <w:r w:rsidR="007B6228" w:rsidRPr="009E3A67">
        <w:rPr>
          <w:rFonts w:ascii="Times New Roman" w:hAnsi="Times New Roman" w:cs="Times New Roman"/>
          <w:sz w:val="24"/>
          <w:szCs w:val="24"/>
        </w:rPr>
        <w:t>privados</w:t>
      </w:r>
      <w:r w:rsidRPr="009E3A67">
        <w:rPr>
          <w:rFonts w:ascii="Times New Roman" w:hAnsi="Times New Roman" w:cs="Times New Roman"/>
          <w:sz w:val="24"/>
          <w:szCs w:val="24"/>
        </w:rPr>
        <w:t xml:space="preserve"> – já que os serviços públicos correspondentes se mantinham precários –, além de terem de se locomover pelas metrópoles com transportes públicos de péssima qualidade. </w:t>
      </w:r>
    </w:p>
    <w:p w14:paraId="1E49C4BD" w14:textId="7237A805" w:rsidR="00785244" w:rsidRPr="009E3A67" w:rsidRDefault="00785244" w:rsidP="007B6228">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Com gastos que possivelmente comprometiam quase a metade da renda familiar, boa parte das famílias se achavam frustradas. Não sem razão “[…] uma das bandeiras fundamentais das manifestações de junho foi exatamente a inexistência de bons serviços públicos de educação, saúde e transporte” (</w:t>
      </w:r>
      <w:r w:rsidR="009B53C7" w:rsidRPr="009E3A67">
        <w:rPr>
          <w:rFonts w:ascii="Times New Roman" w:hAnsi="Times New Roman" w:cs="Times New Roman"/>
          <w:sz w:val="24"/>
          <w:szCs w:val="24"/>
        </w:rPr>
        <w:t>SAFATLE</w:t>
      </w:r>
      <w:r w:rsidRPr="009E3A67">
        <w:rPr>
          <w:rFonts w:ascii="Times New Roman" w:hAnsi="Times New Roman" w:cs="Times New Roman"/>
          <w:sz w:val="24"/>
          <w:szCs w:val="24"/>
        </w:rPr>
        <w:t>, 2015</w:t>
      </w:r>
      <w:r w:rsidR="009B53C7" w:rsidRPr="009E3A67">
        <w:rPr>
          <w:rFonts w:ascii="Times New Roman" w:hAnsi="Times New Roman" w:cs="Times New Roman"/>
          <w:sz w:val="24"/>
          <w:szCs w:val="24"/>
        </w:rPr>
        <w:t>:</w:t>
      </w:r>
      <w:r w:rsidRPr="009E3A67">
        <w:rPr>
          <w:rFonts w:ascii="Times New Roman" w:hAnsi="Times New Roman" w:cs="Times New Roman"/>
          <w:sz w:val="24"/>
          <w:szCs w:val="24"/>
        </w:rPr>
        <w:t xml:space="preserve"> 73).</w:t>
      </w:r>
      <w:r w:rsidRPr="009E3A67">
        <w:rPr>
          <w:rStyle w:val="Refdenotaderodap"/>
          <w:rFonts w:ascii="Times New Roman" w:hAnsi="Times New Roman" w:cs="Times New Roman"/>
          <w:sz w:val="24"/>
          <w:szCs w:val="24"/>
        </w:rPr>
        <w:footnoteReference w:id="114"/>
      </w:r>
    </w:p>
    <w:p w14:paraId="0F0D5989" w14:textId="77777777"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Fato é que o período ficara marcado por um círculo vicioso: com quase metade dos rendimentos direcionados a gastos com educação, saúde e transporte, a nova classe média se vira obrigada a restringir seu consumo e, em muitos casos, recorrer ao endividamento para suprir suas necessidades.</w:t>
      </w:r>
    </w:p>
    <w:p w14:paraId="0E308C34" w14:textId="77777777"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O problema se agravara à medida que os gastos com saúde e educação privadas não se reverteram em desenvolvimento econômico. Terminaram por alimentar a concentração de renda em partes específicas do empresariado, grupos que não raro praticavam uma folha de pagamento de reduzida remuneração, além de possuírem baixo índice de investimento – e que preferiam aplicar seus dividendos no mercado financeiro, aproveitando-se das altas taxas de juros.</w:t>
      </w:r>
      <w:r w:rsidRPr="009E3A67">
        <w:rPr>
          <w:rStyle w:val="Refdenotaderodap"/>
          <w:rFonts w:ascii="Times New Roman" w:hAnsi="Times New Roman" w:cs="Times New Roman"/>
          <w:sz w:val="24"/>
          <w:szCs w:val="24"/>
        </w:rPr>
        <w:footnoteReference w:id="115"/>
      </w:r>
    </w:p>
    <w:p w14:paraId="777F598A" w14:textId="77777777"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Mas, em meio a essa realidade macroeconômica que se mostrara espoliadora, deve-se levar em conta que contingente significativo dos trabalhadores já indicava as fraturas e as contradições do modelo econômico. Descontentamento popular outrora latente não apenas com a institucionalidade política, mas, sobretudo, com o sistema econômico predatório.</w:t>
      </w:r>
      <w:r w:rsidRPr="009E3A67">
        <w:rPr>
          <w:rStyle w:val="Refdenotaderodap"/>
          <w:rFonts w:ascii="Times New Roman" w:hAnsi="Times New Roman" w:cs="Times New Roman"/>
          <w:sz w:val="24"/>
          <w:szCs w:val="24"/>
        </w:rPr>
        <w:footnoteReference w:id="116"/>
      </w:r>
      <w:r w:rsidRPr="009E3A67">
        <w:rPr>
          <w:rFonts w:ascii="Times New Roman" w:hAnsi="Times New Roman" w:cs="Times New Roman"/>
          <w:sz w:val="24"/>
          <w:szCs w:val="24"/>
        </w:rPr>
        <w:t xml:space="preserve"> </w:t>
      </w:r>
    </w:p>
    <w:p w14:paraId="6B9AFB3E" w14:textId="77777777"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 de certo modo, a contestação de parte daqueles que saíram às ruas em 2013 sinaliza também o esgotamento da conciliação política, assim como a falência das expectativas</w:t>
      </w:r>
      <w:r w:rsidRPr="009E3A67">
        <w:rPr>
          <w:rStyle w:val="Refdenotaderodap"/>
          <w:rFonts w:ascii="Times New Roman" w:hAnsi="Times New Roman" w:cs="Times New Roman"/>
          <w:sz w:val="24"/>
          <w:szCs w:val="24"/>
        </w:rPr>
        <w:footnoteReference w:id="117"/>
      </w:r>
      <w:r w:rsidRPr="009E3A67">
        <w:rPr>
          <w:rFonts w:ascii="Times New Roman" w:hAnsi="Times New Roman" w:cs="Times New Roman"/>
          <w:sz w:val="24"/>
          <w:szCs w:val="24"/>
        </w:rPr>
        <w:t xml:space="preserve"> geradas. Tais manifestações expressaram ainda a recusa em continuar a arcar com o preço da espoliação – que, como explicitado, resultara na pauperização de amplos setores da classe trabalhadora. Mais do que uma insurgência a um problema específico e imprescindível, como o aumento das tarifas de transporte, os protestos de 2013 representam uma revolta contrária a um engendramento político-econômico predatório.  </w:t>
      </w:r>
    </w:p>
    <w:p w14:paraId="33A559F5" w14:textId="77777777"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Tratou-se de uma rejeição absoluta das condições econômicas estabelecidas como normais durante os anos 2000. Compreensão de que parte das políticas econômicas adotas propiciaram um desarranjo profundo de concentração de riqueza, empobrecimento e precarização. Insurgências, portanto, corresponderam a um ceticismo inerente em relação às instituições e aos atores políticos, conforme estruturados dentro do enquadramento de democracia liberal praticado no país.</w:t>
      </w:r>
    </w:p>
    <w:p w14:paraId="6978DD26" w14:textId="0817A171"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Notadamente um ponto de inflexão, com esteio em diversos setores da população, posto que, mesmo em meio a um ciclo de frustrações gerado pelo projeto macroeconômico em curso, vivia-se certa paralisia da inteligência, acomodada à lógica do mal menor. Antes, por medo ou autocensura, bloqueavam-se as possibilidades de formular alternativas ao modelo adotado no período – direta ou indiretamente, rendia-se ao </w:t>
      </w:r>
      <w:r w:rsidRPr="009E3A67">
        <w:rPr>
          <w:rFonts w:ascii="Times New Roman" w:hAnsi="Times New Roman" w:cs="Times New Roman"/>
          <w:i/>
          <w:iCs/>
          <w:sz w:val="24"/>
          <w:szCs w:val="24"/>
        </w:rPr>
        <w:t>status quo</w:t>
      </w:r>
      <w:r w:rsidRPr="009E3A67">
        <w:rPr>
          <w:rFonts w:ascii="Times New Roman" w:hAnsi="Times New Roman" w:cs="Times New Roman"/>
          <w:sz w:val="24"/>
          <w:szCs w:val="24"/>
        </w:rPr>
        <w:t>. Na posição defensiva de afirmar como um mantra a ausência de correlação de forças para operar mudanças estruturais, das críticas à esquerda institucional, pela via da própria esquerda, serviam apenas as “[…] propositivas e com indicação da respectiva fonte de financiamento” (</w:t>
      </w:r>
      <w:r w:rsidR="009B53C7" w:rsidRPr="009E3A67">
        <w:rPr>
          <w:rFonts w:ascii="Times New Roman" w:hAnsi="Times New Roman" w:cs="Times New Roman"/>
          <w:sz w:val="24"/>
          <w:szCs w:val="24"/>
        </w:rPr>
        <w:t>ARANTES</w:t>
      </w:r>
      <w:r w:rsidRPr="009E3A67">
        <w:rPr>
          <w:rFonts w:ascii="Times New Roman" w:hAnsi="Times New Roman" w:cs="Times New Roman"/>
          <w:sz w:val="24"/>
          <w:szCs w:val="24"/>
        </w:rPr>
        <w:t>, 2007</w:t>
      </w:r>
      <w:r w:rsidR="009B53C7" w:rsidRPr="009E3A67">
        <w:rPr>
          <w:rFonts w:ascii="Times New Roman" w:hAnsi="Times New Roman" w:cs="Times New Roman"/>
          <w:sz w:val="24"/>
          <w:szCs w:val="24"/>
        </w:rPr>
        <w:t>:</w:t>
      </w:r>
      <w:r w:rsidRPr="009E3A67">
        <w:rPr>
          <w:rFonts w:ascii="Times New Roman" w:hAnsi="Times New Roman" w:cs="Times New Roman"/>
          <w:sz w:val="24"/>
          <w:szCs w:val="24"/>
        </w:rPr>
        <w:t xml:space="preserve"> 244). Por vezes, devido ao bloqueio, a potencialidade da crítica se transfigurara na “[…] garantia contra a tentação de mudar a sociedade” (</w:t>
      </w:r>
      <w:r w:rsidR="009B53C7" w:rsidRPr="009E3A67">
        <w:rPr>
          <w:rFonts w:ascii="Times New Roman" w:hAnsi="Times New Roman" w:cs="Times New Roman"/>
          <w:sz w:val="24"/>
          <w:szCs w:val="24"/>
        </w:rPr>
        <w:t>ARANTES</w:t>
      </w:r>
      <w:r w:rsidRPr="009E3A67">
        <w:rPr>
          <w:rFonts w:ascii="Times New Roman" w:hAnsi="Times New Roman" w:cs="Times New Roman"/>
          <w:sz w:val="24"/>
          <w:szCs w:val="24"/>
        </w:rPr>
        <w:t>, 2007</w:t>
      </w:r>
      <w:r w:rsidR="009B53C7" w:rsidRPr="009E3A67">
        <w:rPr>
          <w:rFonts w:ascii="Times New Roman" w:hAnsi="Times New Roman" w:cs="Times New Roman"/>
          <w:sz w:val="24"/>
          <w:szCs w:val="24"/>
        </w:rPr>
        <w:t>:</w:t>
      </w:r>
      <w:r w:rsidRPr="009E3A67">
        <w:rPr>
          <w:rFonts w:ascii="Times New Roman" w:hAnsi="Times New Roman" w:cs="Times New Roman"/>
          <w:sz w:val="24"/>
          <w:szCs w:val="24"/>
        </w:rPr>
        <w:t xml:space="preserve"> 245). </w:t>
      </w:r>
    </w:p>
    <w:p w14:paraId="5CC8F024" w14:textId="77777777"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Junho, portanto, significou também insurgir-se contrariamente a um tipo de mentalidade unívoca, cuja adoção – economicismo e realismo inescapáveis da correlação de forças – implicara o silenciamento de oposições – sobretudo as intelectuais à esquerda.</w:t>
      </w:r>
      <w:r w:rsidRPr="009E3A67">
        <w:rPr>
          <w:rStyle w:val="Refdenotaderodap"/>
          <w:rFonts w:ascii="Times New Roman" w:hAnsi="Times New Roman" w:cs="Times New Roman"/>
          <w:sz w:val="24"/>
          <w:szCs w:val="24"/>
        </w:rPr>
        <w:footnoteReference w:id="118"/>
      </w:r>
    </w:p>
    <w:p w14:paraId="23B18027" w14:textId="77777777"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Adicionalmente à paralisia diante dos equívocos da política econômica, cumpre que nem mesmo a fraseologia daqueles anos, simbolizada na ideia de “sociedade civil”, logrou afastar-se da lógica espoliadora. A convergência discursiva entre governo, ONGs e mercado, repleta do uso de uma linguagem esvaziada de significados – “cidadania”, “participação”, “parcerias”, “planejamento estratégico”, “público-alvo” etc. –, acabaram por mascarar a realidade socioeconômica. Discursividade que tratou de obscurecer os conflitos reais de poder e riqueza, servindo antes como justificação da adoção de políticas neoliberais. Neste caso, o “[…] jargão untuoso e adocicado” (Arantes, 2004</w:t>
      </w:r>
      <w:r w:rsidR="00694B2C" w:rsidRPr="009E3A67">
        <w:rPr>
          <w:rFonts w:ascii="Times New Roman" w:hAnsi="Times New Roman" w:cs="Times New Roman"/>
          <w:sz w:val="24"/>
          <w:szCs w:val="24"/>
        </w:rPr>
        <w:t>ª;</w:t>
      </w:r>
      <w:r w:rsidRPr="009E3A67">
        <w:rPr>
          <w:rFonts w:ascii="Times New Roman" w:hAnsi="Times New Roman" w:cs="Times New Roman"/>
          <w:sz w:val="24"/>
          <w:szCs w:val="24"/>
        </w:rPr>
        <w:t xml:space="preserve"> 166) do Terceiro Setor correspondia ainda à perda de contraposição ideológica por parte da crítica – e redundara num tipo de mimetismo discursivo que obstaculizara a formação de objeções contra-hegemônicas.</w:t>
      </w:r>
      <w:r w:rsidRPr="009E3A67">
        <w:rPr>
          <w:rStyle w:val="Refdenotaderodap"/>
          <w:rFonts w:ascii="Times New Roman" w:hAnsi="Times New Roman" w:cs="Times New Roman"/>
          <w:sz w:val="24"/>
          <w:szCs w:val="24"/>
        </w:rPr>
        <w:footnoteReference w:id="119"/>
      </w:r>
    </w:p>
    <w:p w14:paraId="6B8E214C" w14:textId="77777777" w:rsidR="00785244" w:rsidRPr="009E3A67" w:rsidRDefault="00785244" w:rsidP="00694B2C">
      <w:pPr>
        <w:spacing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A ascensão do Terceiro Setor e a noção de participação não impediram sua absorção pela razão mercadológica. Ora, notara-se a “publicização” de serviços públicos, processo em que as entidades públicas de direito privado, como as organizações sociais (OS), assumiram a gestão dos serviços outrora prestados pelo Estado. Não raro esse entrecruzamento entre poder público e dinheiro acarretaram o desmanche do alcance estatal, bem como a precarização dos serviços públicos.</w:t>
      </w:r>
    </w:p>
    <w:p w14:paraId="46A0453D" w14:textId="645A4E9A" w:rsidR="00785244" w:rsidRPr="009E3A67" w:rsidRDefault="00785244" w:rsidP="00694B2C">
      <w:pPr>
        <w:spacing w:before="240" w:line="240" w:lineRule="auto"/>
        <w:ind w:left="2268"/>
        <w:jc w:val="both"/>
        <w:rPr>
          <w:rFonts w:ascii="Times New Roman" w:hAnsi="Times New Roman" w:cs="Times New Roman"/>
          <w:sz w:val="20"/>
          <w:szCs w:val="18"/>
        </w:rPr>
      </w:pPr>
      <w:r w:rsidRPr="009E3A67">
        <w:rPr>
          <w:rFonts w:ascii="Times New Roman" w:hAnsi="Times New Roman" w:cs="Times New Roman"/>
          <w:sz w:val="20"/>
          <w:szCs w:val="18"/>
        </w:rPr>
        <w:t>Como se trata ob</w:t>
      </w:r>
      <w:r w:rsidRPr="009E3A67">
        <w:rPr>
          <w:rFonts w:ascii="Times New Roman" w:hAnsi="Times New Roman" w:cs="Times New Roman"/>
          <w:sz w:val="20"/>
          <w:szCs w:val="18"/>
        </w:rPr>
        <w:softHyphen/>
        <w:t>viamente de um processo de “publicização” destinado a ampliar ainda mais o “espaço de participação cidadã” com a introdução de novos “atores emergentes” – de cujas “ha</w:t>
      </w:r>
      <w:r w:rsidRPr="009E3A67">
        <w:rPr>
          <w:rFonts w:ascii="Times New Roman" w:hAnsi="Times New Roman" w:cs="Times New Roman"/>
          <w:sz w:val="20"/>
          <w:szCs w:val="18"/>
        </w:rPr>
        <w:softHyphen/>
        <w:t xml:space="preserve">bilidades gerenciais” e “visão estratégica” redundará por certo um bem-vindo </w:t>
      </w:r>
      <w:r w:rsidRPr="009E3A67">
        <w:rPr>
          <w:rFonts w:ascii="Times New Roman" w:hAnsi="Times New Roman" w:cs="Times New Roman"/>
          <w:i/>
          <w:iCs/>
          <w:sz w:val="20"/>
          <w:szCs w:val="18"/>
        </w:rPr>
        <w:t xml:space="preserve">empowerment </w:t>
      </w:r>
      <w:r w:rsidRPr="009E3A67">
        <w:rPr>
          <w:rFonts w:ascii="Times New Roman" w:hAnsi="Times New Roman" w:cs="Times New Roman"/>
          <w:sz w:val="20"/>
          <w:szCs w:val="18"/>
        </w:rPr>
        <w:t>(“empoderamento” em português) da “cidadania” numa sociedade de “baixa participação” como a nossa –, não se poderá dizer que se está “privatizando” o que quer que seja (</w:t>
      </w:r>
      <w:r w:rsidR="009B53C7" w:rsidRPr="009E3A67">
        <w:rPr>
          <w:rFonts w:ascii="Times New Roman" w:hAnsi="Times New Roman" w:cs="Times New Roman"/>
          <w:sz w:val="20"/>
          <w:szCs w:val="18"/>
        </w:rPr>
        <w:t>ARANTES</w:t>
      </w:r>
      <w:r w:rsidRPr="009E3A67">
        <w:rPr>
          <w:rFonts w:ascii="Times New Roman" w:hAnsi="Times New Roman" w:cs="Times New Roman"/>
          <w:sz w:val="20"/>
          <w:szCs w:val="18"/>
        </w:rPr>
        <w:t>, 2004</w:t>
      </w:r>
      <w:r w:rsidR="009B53C7" w:rsidRPr="009E3A67">
        <w:rPr>
          <w:rFonts w:ascii="Times New Roman" w:hAnsi="Times New Roman" w:cs="Times New Roman"/>
          <w:sz w:val="20"/>
          <w:szCs w:val="18"/>
        </w:rPr>
        <w:t>a:</w:t>
      </w:r>
      <w:r w:rsidRPr="009E3A67">
        <w:rPr>
          <w:rFonts w:ascii="Times New Roman" w:hAnsi="Times New Roman" w:cs="Times New Roman"/>
          <w:sz w:val="20"/>
          <w:szCs w:val="18"/>
        </w:rPr>
        <w:t xml:space="preserve"> 171).</w:t>
      </w:r>
    </w:p>
    <w:p w14:paraId="0D8D0CE8" w14:textId="77777777" w:rsidR="00785244" w:rsidRPr="009E3A67" w:rsidRDefault="00785244" w:rsidP="00694B2C">
      <w:pPr>
        <w:spacing w:before="240" w:after="0" w:line="360" w:lineRule="auto"/>
        <w:ind w:firstLine="709"/>
        <w:jc w:val="both"/>
        <w:rPr>
          <w:rFonts w:ascii="Times New Roman" w:hAnsi="Times New Roman" w:cs="Times New Roman"/>
          <w:sz w:val="24"/>
          <w:szCs w:val="24"/>
        </w:rPr>
      </w:pPr>
      <w:r w:rsidRPr="009E3A67">
        <w:rPr>
          <w:rFonts w:ascii="Times New Roman" w:hAnsi="Times New Roman" w:cs="Times New Roman"/>
          <w:sz w:val="24"/>
          <w:szCs w:val="24"/>
        </w:rPr>
        <w:t xml:space="preserve">A racionalidade neoliberal que vigorara então desloca a lógica do mercado para muito além da esfera mercantil. Mecanismos de gestão, nesse sentido, reduzem a política à tecnocracia contábil e orçamentária. </w:t>
      </w:r>
    </w:p>
    <w:p w14:paraId="7734C84A" w14:textId="1344C3AE"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Desdobramentos usuais desses mecanismos – já desde uma nova administração gerencial –, as ditas políticas públicas podem ser vistas como dispositivos para realinhar gestos e pensamentos, comumente atuando como fator de desmobilização dos movimentos sociais. Desviara-se a energia popular para canais institucionais. Embora a tônica do momento fosse o “consenso da participação”, o poder decisório efetivo sucedera ao largo dos espaços e conferências de políticas públicas. Por outra, “[…] o real poder de decisão estava passando cada vez mais longe desses tais espaços participativos, se é que algum dia passou de fato” (</w:t>
      </w:r>
      <w:r w:rsidR="009B53C7" w:rsidRPr="009E3A67">
        <w:rPr>
          <w:rFonts w:ascii="Times New Roman" w:hAnsi="Times New Roman" w:cs="Times New Roman"/>
          <w:sz w:val="24"/>
          <w:szCs w:val="24"/>
        </w:rPr>
        <w:t>ARANTES</w:t>
      </w:r>
      <w:r w:rsidRPr="009E3A67">
        <w:rPr>
          <w:rFonts w:ascii="Times New Roman" w:hAnsi="Times New Roman" w:cs="Times New Roman"/>
          <w:sz w:val="24"/>
          <w:szCs w:val="24"/>
        </w:rPr>
        <w:t>, 2014</w:t>
      </w:r>
      <w:r w:rsidR="009B53C7" w:rsidRPr="009E3A67">
        <w:rPr>
          <w:rFonts w:ascii="Times New Roman" w:hAnsi="Times New Roman" w:cs="Times New Roman"/>
          <w:sz w:val="24"/>
          <w:szCs w:val="24"/>
        </w:rPr>
        <w:t>:</w:t>
      </w:r>
      <w:r w:rsidRPr="009E3A67">
        <w:rPr>
          <w:rFonts w:ascii="Times New Roman" w:hAnsi="Times New Roman" w:cs="Times New Roman"/>
          <w:sz w:val="24"/>
          <w:szCs w:val="24"/>
        </w:rPr>
        <w:t xml:space="preserve"> 428) </w:t>
      </w:r>
    </w:p>
    <w:p w14:paraId="3EF4BEF0" w14:textId="060FB081"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Se originalmente pensados com autonomia em relação ao Estado, os canais de participação tornaram-se parte integrante do discurso institucional, uma categoria de operação do estatal, destituindo-se de seu potencial utópico e transformador. Problema incessante a começar das limitações da transição democrática brasileira, as quais – com suas “[…] anomalias de nossa longa normalização depois de um regime (tradicional) de exceção – fizeram com que a participação, absorvida pelas estruturas estatais” (</w:t>
      </w:r>
      <w:r w:rsidR="009B53C7" w:rsidRPr="009E3A67">
        <w:rPr>
          <w:rFonts w:ascii="Times New Roman" w:hAnsi="Times New Roman" w:cs="Times New Roman"/>
          <w:sz w:val="24"/>
          <w:szCs w:val="24"/>
        </w:rPr>
        <w:t>ARANTES,</w:t>
      </w:r>
      <w:r w:rsidRPr="009E3A67">
        <w:rPr>
          <w:rFonts w:ascii="Times New Roman" w:hAnsi="Times New Roman" w:cs="Times New Roman"/>
          <w:sz w:val="24"/>
          <w:szCs w:val="24"/>
        </w:rPr>
        <w:t xml:space="preserve"> 2014</w:t>
      </w:r>
      <w:r w:rsidR="009B53C7" w:rsidRPr="009E3A67">
        <w:rPr>
          <w:rFonts w:ascii="Times New Roman" w:hAnsi="Times New Roman" w:cs="Times New Roman"/>
          <w:sz w:val="24"/>
          <w:szCs w:val="24"/>
        </w:rPr>
        <w:t>:</w:t>
      </w:r>
      <w:r w:rsidRPr="009E3A67">
        <w:rPr>
          <w:rFonts w:ascii="Times New Roman" w:hAnsi="Times New Roman" w:cs="Times New Roman"/>
          <w:sz w:val="24"/>
          <w:szCs w:val="24"/>
        </w:rPr>
        <w:t xml:space="preserve"> 429), assumisse a feição do establishment mais conservador – pelo menos no sentido de tolher tentativas mais abruptas de justiça social. </w:t>
      </w:r>
    </w:p>
    <w:p w14:paraId="4E4DC0FF" w14:textId="77777777"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Nesse sentido, os espaços proporcionados pelos mecanismos de gestão transformaram-se em formas contemporâneas de controle de populações. Esvaziamento como controle que intencionava apenas a sua própria reprodução: um fim em si mesmo – sem abordar desigualdade e conflitos de classe. Tomava-se para si a linguagem das instituições tradicionais. </w:t>
      </w:r>
    </w:p>
    <w:p w14:paraId="17F1DF3D" w14:textId="77777777"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Em suma, insistiu-se, naqueles anos, na participação como expressão e meio de resolver os problemas sociais. No entanto, também é possível indicar que seus espaços de deliberação funcionaram como artifício de governar indivíduos, levando-os a uma rotina e à esterilização de suas capacidades emancipadoras. </w:t>
      </w:r>
    </w:p>
    <w:p w14:paraId="350DF084" w14:textId="5B734CE4" w:rsidR="00785244" w:rsidRPr="009E3A67" w:rsidRDefault="00785244" w:rsidP="00694B2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Permite-se a leitura de que a esquerda brasileira, especialmente a que comandara Presidência da República, não apresentara uma real alternativa à institucionalidade política. A isso resta-se o inconveniente de que seus programas de governança, ainda que incentivassem a participação, terminaram por “[…] desmobilizar mobilizando” (Arantes, 2014</w:t>
      </w:r>
      <w:r w:rsidR="00694B2C" w:rsidRPr="009E3A67">
        <w:rPr>
          <w:rFonts w:ascii="Times New Roman" w:hAnsi="Times New Roman" w:cs="Times New Roman"/>
          <w:sz w:val="24"/>
          <w:szCs w:val="24"/>
        </w:rPr>
        <w:t>;</w:t>
      </w:r>
      <w:r w:rsidRPr="009E3A67">
        <w:rPr>
          <w:rFonts w:ascii="Times New Roman" w:hAnsi="Times New Roman" w:cs="Times New Roman"/>
          <w:sz w:val="24"/>
          <w:szCs w:val="24"/>
        </w:rPr>
        <w:t xml:space="preserve"> 430), isto é, retiraram da população quaisquer possibilidades de decisão, mas a controlando. Ao fim e ao cabo, a esquerda “[…] parasitou formas alheias de comando e gestão, quando não gerou formações monstruosas ao fundir num só bloco, porém com funções intercambiáveis, administração dos homens e governo das coisas” (</w:t>
      </w:r>
      <w:r w:rsidR="009B53C7" w:rsidRPr="009E3A67">
        <w:rPr>
          <w:rFonts w:ascii="Times New Roman" w:hAnsi="Times New Roman" w:cs="Times New Roman"/>
          <w:sz w:val="24"/>
          <w:szCs w:val="24"/>
        </w:rPr>
        <w:t>ARANTES</w:t>
      </w:r>
      <w:r w:rsidRPr="009E3A67">
        <w:rPr>
          <w:rFonts w:ascii="Times New Roman" w:hAnsi="Times New Roman" w:cs="Times New Roman"/>
          <w:sz w:val="24"/>
          <w:szCs w:val="24"/>
        </w:rPr>
        <w:t>, 2014</w:t>
      </w:r>
      <w:r w:rsidR="009B53C7" w:rsidRPr="009E3A67">
        <w:rPr>
          <w:rFonts w:ascii="Times New Roman" w:hAnsi="Times New Roman" w:cs="Times New Roman"/>
          <w:sz w:val="24"/>
          <w:szCs w:val="24"/>
        </w:rPr>
        <w:t>:</w:t>
      </w:r>
      <w:r w:rsidRPr="009E3A67">
        <w:rPr>
          <w:rFonts w:ascii="Times New Roman" w:hAnsi="Times New Roman" w:cs="Times New Roman"/>
          <w:sz w:val="24"/>
          <w:szCs w:val="24"/>
        </w:rPr>
        <w:t xml:space="preserve"> 452). </w:t>
      </w:r>
    </w:p>
    <w:p w14:paraId="72D0CB1F" w14:textId="77777777" w:rsidR="00694B2C" w:rsidRPr="009E3A67" w:rsidRDefault="00694B2C" w:rsidP="00FB5FC1">
      <w:pPr>
        <w:spacing w:after="0" w:line="240" w:lineRule="auto"/>
        <w:rPr>
          <w:rFonts w:ascii="Times New Roman" w:hAnsi="Times New Roman" w:cs="Times New Roman"/>
          <w:b/>
          <w:bCs/>
        </w:rPr>
      </w:pPr>
    </w:p>
    <w:p w14:paraId="4F0D55ED" w14:textId="1D612CF0" w:rsidR="00785244" w:rsidRPr="009E3A67" w:rsidRDefault="00694B2C" w:rsidP="00785244">
      <w:pPr>
        <w:rPr>
          <w:rFonts w:ascii="Times New Roman" w:hAnsi="Times New Roman" w:cs="Times New Roman"/>
          <w:b/>
          <w:bCs/>
          <w:sz w:val="24"/>
          <w:szCs w:val="24"/>
        </w:rPr>
      </w:pPr>
      <w:r w:rsidRPr="009E3A67">
        <w:rPr>
          <w:rFonts w:ascii="Times New Roman" w:hAnsi="Times New Roman" w:cs="Times New Roman"/>
          <w:b/>
          <w:bCs/>
          <w:sz w:val="24"/>
          <w:szCs w:val="24"/>
        </w:rPr>
        <w:t xml:space="preserve">5. </w:t>
      </w:r>
      <w:r w:rsidR="00FA77DB" w:rsidRPr="009E3A67">
        <w:rPr>
          <w:rFonts w:ascii="Times New Roman" w:hAnsi="Times New Roman" w:cs="Times New Roman"/>
          <w:b/>
          <w:bCs/>
          <w:sz w:val="24"/>
          <w:szCs w:val="24"/>
        </w:rPr>
        <w:t>CONSIDERAÇÕES FINAIS</w:t>
      </w:r>
    </w:p>
    <w:p w14:paraId="4DA65411" w14:textId="77777777" w:rsidR="00785244" w:rsidRPr="009E3A67" w:rsidRDefault="00785244" w:rsidP="00D828C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Contrariamente ao prisma que as usuais versões difundidas sobre Junho de 2013 pretenderam albergar, o esforço deste excerto consiste em destacar as potencialidades do acontecimento – “[…] todo clivado por diferenças” (Alonso, 2023, p. 264). Aliado aos notáveis descontentamentos com o establishment político, o ciclo de protestos apontava para a necessidade de novas formas de organização e sociabilidade políticas. O sistema político brasileiro preferiu, contudo, encapsular-se, rejeitando o prenúncio de alguma coisa que se mostrara positivamente disruptiva. </w:t>
      </w:r>
    </w:p>
    <w:p w14:paraId="00F3EA65" w14:textId="53BA1C32" w:rsidR="00785244" w:rsidRPr="009E3A67" w:rsidRDefault="00785244" w:rsidP="004C209A">
      <w:pPr>
        <w:spacing w:after="0" w:line="360" w:lineRule="auto"/>
        <w:ind w:firstLine="709"/>
        <w:jc w:val="both"/>
        <w:rPr>
          <w:rFonts w:ascii="Times New Roman" w:hAnsi="Times New Roman" w:cs="Times New Roman"/>
          <w:sz w:val="24"/>
          <w:szCs w:val="24"/>
        </w:rPr>
      </w:pPr>
      <w:r w:rsidRPr="009E3A67">
        <w:rPr>
          <w:rFonts w:ascii="Times New Roman" w:hAnsi="Times New Roman" w:cs="Times New Roman"/>
          <w:sz w:val="24"/>
          <w:szCs w:val="24"/>
        </w:rPr>
        <w:t>A classe política teve, portanto, alternativas. Decisões foram tomadas nos altos escalões da governabilidade. Em vez de reconhecer e equacionar a multiplicidade de demandas que se fizeram ouvir nos protestos, o governo entrincheirou-se junto a atores políticos institucionalizados dos campos da direita e da centro-direita. Em que pese a opção por encastelar-se, neste caso, as possibilidades estavam em aberto, daí se afirmar que “[…] junho não foi uma causa primeira, da qual decorreria inevitavelmente tudo o que veio depois” (</w:t>
      </w:r>
      <w:r w:rsidR="009B53C7" w:rsidRPr="009E3A67">
        <w:rPr>
          <w:rFonts w:ascii="Times New Roman" w:hAnsi="Times New Roman" w:cs="Times New Roman"/>
          <w:sz w:val="24"/>
          <w:szCs w:val="24"/>
        </w:rPr>
        <w:t>ALONSO</w:t>
      </w:r>
      <w:r w:rsidRPr="009E3A67">
        <w:rPr>
          <w:rFonts w:ascii="Times New Roman" w:hAnsi="Times New Roman" w:cs="Times New Roman"/>
          <w:sz w:val="24"/>
          <w:szCs w:val="24"/>
        </w:rPr>
        <w:t>, 2023</w:t>
      </w:r>
      <w:r w:rsidR="009B53C7" w:rsidRPr="009E3A67">
        <w:rPr>
          <w:rFonts w:ascii="Times New Roman" w:hAnsi="Times New Roman" w:cs="Times New Roman"/>
          <w:sz w:val="24"/>
          <w:szCs w:val="24"/>
        </w:rPr>
        <w:t xml:space="preserve">: </w:t>
      </w:r>
      <w:r w:rsidRPr="009E3A67">
        <w:rPr>
          <w:rFonts w:ascii="Times New Roman" w:hAnsi="Times New Roman" w:cs="Times New Roman"/>
          <w:sz w:val="24"/>
          <w:szCs w:val="24"/>
        </w:rPr>
        <w:t xml:space="preserve">273). </w:t>
      </w:r>
    </w:p>
    <w:p w14:paraId="2873CC7B" w14:textId="0EEF8691" w:rsidR="00785244" w:rsidRPr="009E3A67" w:rsidRDefault="00785244" w:rsidP="00D828C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De mais a mais, como se discutiu, quem saíra às ruas não estava fadado a identificar-se com as formas contemporâneas da extrema direita. Modos de intervenção e formação da identidade não estão dadas de antemão. A agência humana e os variados aspectos da psicologia individual explicitam-se recursivamente, a contar do contexto e da intersubjetividade. Se as perspectivas de exteriorização da insatisfação foram efetivamente sustadas, priorizando-se a condução institucional comumente avessa à participação real e direta, não é dessarroado inferir que </w:t>
      </w:r>
      <w:r w:rsidRPr="009E3A67">
        <w:rPr>
          <w:rFonts w:ascii="Times New Roman" w:hAnsi="Times New Roman" w:cs="Times New Roman"/>
          <w:color w:val="000000"/>
          <w:sz w:val="24"/>
          <w:szCs w:val="24"/>
        </w:rPr>
        <w:t>“[…] a maior oportunidade pedagógica que a política brasileira conheceu em muito tempo acabou sendo aproveitada predominantemente pela direita, que ademais podia contar com a simpatia da mídia e de interlocutores institucionais para impulsionar sua mensagem</w:t>
      </w:r>
      <w:r w:rsidRPr="009E3A67">
        <w:rPr>
          <w:rFonts w:ascii="Times New Roman" w:hAnsi="Times New Roman" w:cs="Times New Roman"/>
          <w:sz w:val="24"/>
          <w:szCs w:val="24"/>
        </w:rPr>
        <w:t>” (</w:t>
      </w:r>
      <w:r w:rsidR="00355D09" w:rsidRPr="009E3A67">
        <w:rPr>
          <w:rFonts w:ascii="Times New Roman" w:hAnsi="Times New Roman" w:cs="Times New Roman"/>
          <w:sz w:val="24"/>
          <w:szCs w:val="24"/>
        </w:rPr>
        <w:t xml:space="preserve">NUNES, </w:t>
      </w:r>
      <w:r w:rsidRPr="009E3A67">
        <w:rPr>
          <w:rFonts w:ascii="Times New Roman" w:hAnsi="Times New Roman" w:cs="Times New Roman"/>
          <w:sz w:val="24"/>
          <w:szCs w:val="24"/>
        </w:rPr>
        <w:t>2022</w:t>
      </w:r>
      <w:r w:rsidR="00355D09" w:rsidRPr="009E3A67">
        <w:rPr>
          <w:rFonts w:ascii="Times New Roman" w:hAnsi="Times New Roman" w:cs="Times New Roman"/>
          <w:sz w:val="24"/>
          <w:szCs w:val="24"/>
        </w:rPr>
        <w:t>:</w:t>
      </w:r>
      <w:r w:rsidRPr="009E3A67">
        <w:rPr>
          <w:rFonts w:ascii="Times New Roman" w:hAnsi="Times New Roman" w:cs="Times New Roman"/>
          <w:sz w:val="24"/>
          <w:szCs w:val="24"/>
        </w:rPr>
        <w:t>195).</w:t>
      </w:r>
    </w:p>
    <w:p w14:paraId="7D784F77" w14:textId="77777777" w:rsidR="00785244" w:rsidRPr="009E3A67" w:rsidRDefault="00785244" w:rsidP="00D828C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 ainda que tenham permanecido na memória da maior parte da esquerda uma visão pejorativa acerca do período, o desafio proposto ao longo deste texto residiu em reimaginar as insurreições de 2013: não as rejeitar integralmente, além de escorar-se em literatura alternativa – a qual realça o curso dos acontecimentos como mostras do colapso dos antigos pactos de conciliação. Apesar de a arena política brasileira comportar sucessivas derrotas do campo progressista na última década, os eventos de Junho de 2013 podem ser lidos enquanto instante libertador de insubmissão popular.</w:t>
      </w:r>
    </w:p>
    <w:p w14:paraId="0B8D8A32" w14:textId="586E0143" w:rsidR="00785244" w:rsidRPr="009E3A67" w:rsidRDefault="00785244" w:rsidP="00D828C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Dito de outra maneira, a despeito da sequência de reveses da esquerda brasileira e da falta de ressonância eficaz relativamente aos protestos de 2013, talvez caiba uma estilização, estabelecendo que</w:t>
      </w:r>
      <w:r w:rsidR="00355D09" w:rsidRPr="009E3A67">
        <w:rPr>
          <w:rFonts w:ascii="Times New Roman" w:hAnsi="Times New Roman" w:cs="Times New Roman"/>
          <w:sz w:val="24"/>
          <w:szCs w:val="24"/>
        </w:rPr>
        <w:t>,</w:t>
      </w:r>
      <w:r w:rsidRPr="009E3A67">
        <w:rPr>
          <w:rFonts w:ascii="Times New Roman" w:hAnsi="Times New Roman" w:cs="Times New Roman"/>
          <w:sz w:val="24"/>
          <w:szCs w:val="24"/>
        </w:rPr>
        <w:t xml:space="preserve"> […] </w:t>
      </w:r>
      <w:r w:rsidRPr="009E3A67">
        <w:rPr>
          <w:rFonts w:ascii="Times New Roman" w:hAnsi="Times New Roman" w:cs="Times New Roman"/>
          <w:i/>
          <w:iCs/>
          <w:sz w:val="24"/>
          <w:szCs w:val="24"/>
        </w:rPr>
        <w:t>essa não é a verdade toda</w:t>
      </w:r>
      <w:r w:rsidRPr="009E3A67">
        <w:rPr>
          <w:rFonts w:ascii="Times New Roman" w:hAnsi="Times New Roman" w:cs="Times New Roman"/>
          <w:sz w:val="24"/>
          <w:szCs w:val="24"/>
        </w:rPr>
        <w:t>: existiu, em cada um daqueles eventos, um momento redentor que se perde na rejeição democrático-liberal – e é fundamental isolar esse momento (Žižek, 2008</w:t>
      </w:r>
      <w:r w:rsidR="00355D09" w:rsidRPr="009E3A67">
        <w:rPr>
          <w:rFonts w:ascii="Times New Roman" w:hAnsi="Times New Roman" w:cs="Times New Roman"/>
          <w:sz w:val="24"/>
          <w:szCs w:val="24"/>
        </w:rPr>
        <w:t xml:space="preserve">: </w:t>
      </w:r>
      <w:r w:rsidRPr="009E3A67">
        <w:rPr>
          <w:rFonts w:ascii="Times New Roman" w:hAnsi="Times New Roman" w:cs="Times New Roman"/>
          <w:sz w:val="24"/>
          <w:szCs w:val="24"/>
        </w:rPr>
        <w:t>8</w:t>
      </w:r>
      <w:r w:rsidR="00355D09" w:rsidRPr="009E3A67">
        <w:rPr>
          <w:rFonts w:ascii="Times New Roman" w:hAnsi="Times New Roman" w:cs="Times New Roman"/>
          <w:sz w:val="24"/>
          <w:szCs w:val="24"/>
        </w:rPr>
        <w:t>).</w:t>
      </w:r>
      <w:r w:rsidRPr="009E3A67">
        <w:rPr>
          <w:rFonts w:ascii="Times New Roman" w:hAnsi="Times New Roman" w:cs="Times New Roman"/>
          <w:sz w:val="24"/>
          <w:szCs w:val="24"/>
        </w:rPr>
        <w:t xml:space="preserve"> E esse momento é crucial justamente porque tornou visível que o período pós-redemocratização brasileiro – o qual coincidia com os anos de consenso neoliberal –, com seu antigo sistema de pactos, entrara em crise.  </w:t>
      </w:r>
    </w:p>
    <w:p w14:paraId="4FFB6912" w14:textId="0839941B" w:rsidR="00785244" w:rsidRPr="009E3A67" w:rsidRDefault="00785244" w:rsidP="00D828C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Junho pode significar, então, uma reabilitação da política – posto que sua potencialidade afligiu a institucionalidade, assim como esbarrou a lógica do capitalismo contemporâneo brasileiro. Por alguns dias, derrubaram-se os “[…] consensos da ‘política’, tal como a conhecíamos e consensualmente reforçávamos a sua existência numa esfera separada de poder (Estado, instituições, eleições)” (</w:t>
      </w:r>
      <w:r w:rsidR="00355D09" w:rsidRPr="009E3A67">
        <w:rPr>
          <w:rFonts w:ascii="Times New Roman" w:hAnsi="Times New Roman" w:cs="Times New Roman"/>
          <w:sz w:val="24"/>
          <w:szCs w:val="24"/>
        </w:rPr>
        <w:t>ARANTES</w:t>
      </w:r>
      <w:r w:rsidRPr="009E3A67">
        <w:rPr>
          <w:rFonts w:ascii="Times New Roman" w:hAnsi="Times New Roman" w:cs="Times New Roman"/>
          <w:sz w:val="24"/>
          <w:szCs w:val="24"/>
        </w:rPr>
        <w:t>, 2014</w:t>
      </w:r>
      <w:r w:rsidR="00355D09" w:rsidRPr="009E3A67">
        <w:rPr>
          <w:rFonts w:ascii="Times New Roman" w:hAnsi="Times New Roman" w:cs="Times New Roman"/>
          <w:sz w:val="24"/>
          <w:szCs w:val="24"/>
        </w:rPr>
        <w:t>:</w:t>
      </w:r>
      <w:r w:rsidRPr="009E3A67">
        <w:rPr>
          <w:rFonts w:ascii="Times New Roman" w:hAnsi="Times New Roman" w:cs="Times New Roman"/>
          <w:sz w:val="24"/>
          <w:szCs w:val="24"/>
        </w:rPr>
        <w:t xml:space="preserve"> 428).</w:t>
      </w:r>
    </w:p>
    <w:p w14:paraId="7AFAA742" w14:textId="51030D8D" w:rsidR="00785244" w:rsidRPr="009E3A67" w:rsidRDefault="00785244" w:rsidP="00D828C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Em 2013, viram-se variadas formas de descontentamento e mal-estar, reações contrárias ao engendramento neoliberal. Junto à mencionada financeirização da economia, também o caso brasileiro se dirige “[…] ao enclausuramento do espaço público, à diminuição de serviços públicos (saúde, educação, cultura) e ao aumento do funcionamento autoritário do poder político” (</w:t>
      </w:r>
      <w:r w:rsidR="00355D09" w:rsidRPr="009E3A67">
        <w:rPr>
          <w:rFonts w:ascii="Times New Roman" w:hAnsi="Times New Roman" w:cs="Times New Roman"/>
          <w:sz w:val="24"/>
          <w:szCs w:val="24"/>
        </w:rPr>
        <w:t xml:space="preserve">ŽIŽEK, </w:t>
      </w:r>
      <w:r w:rsidRPr="009E3A67">
        <w:rPr>
          <w:rFonts w:ascii="Times New Roman" w:hAnsi="Times New Roman" w:cs="Times New Roman"/>
          <w:sz w:val="24"/>
          <w:szCs w:val="24"/>
        </w:rPr>
        <w:t xml:space="preserve">2013, “Problemas no Paraíso”). Protestara-se contra os limites do modelo perpetrado há muito – simbolizado na ineficiência do Estado. O sistema e a sua respectiva legitimidade passam a ser questionados. </w:t>
      </w:r>
    </w:p>
    <w:p w14:paraId="7CEF995E" w14:textId="127F0647" w:rsidR="00785244" w:rsidRPr="009E3A67" w:rsidRDefault="00785244" w:rsidP="00D828C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Exigir, neste caso, maior consistência e políticas redistributivas desse sistema figura como oportunidade para perturbar o âmago da ideologia hegemônica. Torna aberta a via para uma mudança radical. No entanto, como resposta, a institucionalidade permanece alheia às demandas das ruas. Nesse sentido, para além de novas formas de participação, seria preciso levar em conta que “[…] a vida social e a economia também devem ser democratizadas” (</w:t>
      </w:r>
      <w:r w:rsidR="00355D09" w:rsidRPr="009E3A67">
        <w:rPr>
          <w:rFonts w:ascii="Times New Roman" w:hAnsi="Times New Roman" w:cs="Times New Roman"/>
          <w:sz w:val="24"/>
          <w:szCs w:val="24"/>
        </w:rPr>
        <w:t>ŽIŽEK</w:t>
      </w:r>
      <w:r w:rsidRPr="009E3A67">
        <w:rPr>
          <w:rFonts w:ascii="Times New Roman" w:hAnsi="Times New Roman" w:cs="Times New Roman"/>
          <w:sz w:val="24"/>
          <w:szCs w:val="24"/>
        </w:rPr>
        <w:t xml:space="preserve">, 2013, “Problemas no Paraíso”). </w:t>
      </w:r>
    </w:p>
    <w:p w14:paraId="0EDB97DF" w14:textId="77777777" w:rsidR="00785244" w:rsidRPr="009E3A67" w:rsidRDefault="00785244" w:rsidP="00D828CC">
      <w:pPr>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Experiências históricas decisivas são importantes não somente pelos problemas que revelam – mas também por permitirem refletir sobre o presente e o porvir. Nesse contexto, torna-se crucial promover uma reconciliação entre a esquerda institucional e os movimentos de rua, além de uma análise aprofundada dos eventos de Junho de 2013. Uma transformação radical envolveria a transição de um processo insurrecional popular para uma nova forma de institucionalidade. Talvez o primeiro passo para essa mudança seja justamente compreender e integrar as lições de junho de 2013, garantindo que a própria esquerda institucional esteja aberta e receptiva às manifestações populares.</w:t>
      </w:r>
    </w:p>
    <w:p w14:paraId="4874DCD6" w14:textId="77777777" w:rsidR="00785244" w:rsidRPr="009E3A67" w:rsidRDefault="00785244" w:rsidP="00785244">
      <w:pPr>
        <w:rPr>
          <w:rFonts w:ascii="Times New Roman" w:hAnsi="Times New Roman" w:cs="Times New Roman"/>
        </w:rPr>
      </w:pPr>
    </w:p>
    <w:p w14:paraId="4648D987" w14:textId="77777777" w:rsidR="00785244" w:rsidRPr="009E3A67" w:rsidRDefault="00785244" w:rsidP="00785244">
      <w:pPr>
        <w:rPr>
          <w:rFonts w:ascii="Times New Roman" w:hAnsi="Times New Roman" w:cs="Times New Roman"/>
          <w:b/>
          <w:bCs/>
          <w:sz w:val="24"/>
          <w:szCs w:val="24"/>
        </w:rPr>
      </w:pPr>
      <w:r w:rsidRPr="009E3A67">
        <w:rPr>
          <w:rFonts w:ascii="Times New Roman" w:hAnsi="Times New Roman" w:cs="Times New Roman"/>
          <w:b/>
          <w:bCs/>
          <w:sz w:val="24"/>
          <w:szCs w:val="24"/>
        </w:rPr>
        <w:t>REFERÊNCIAS</w:t>
      </w:r>
    </w:p>
    <w:p w14:paraId="73CDFD6F" w14:textId="77777777" w:rsidR="00785244" w:rsidRPr="009E3A67" w:rsidRDefault="00785244" w:rsidP="003F1C39">
      <w:pPr>
        <w:pStyle w:val="PargrafodaLista"/>
        <w:numPr>
          <w:ilvl w:val="0"/>
          <w:numId w:val="9"/>
        </w:numPr>
        <w:spacing w:after="0" w:line="240"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ALONSO, A. </w:t>
      </w:r>
      <w:r w:rsidRPr="009E3A67">
        <w:rPr>
          <w:rFonts w:ascii="Times New Roman" w:hAnsi="Times New Roman" w:cs="Times New Roman"/>
          <w:i/>
          <w:iCs/>
          <w:sz w:val="24"/>
          <w:szCs w:val="24"/>
        </w:rPr>
        <w:t>Treze</w:t>
      </w:r>
      <w:r w:rsidRPr="009E3A67">
        <w:rPr>
          <w:rFonts w:ascii="Times New Roman" w:hAnsi="Times New Roman" w:cs="Times New Roman"/>
          <w:sz w:val="24"/>
          <w:szCs w:val="24"/>
        </w:rPr>
        <w:t xml:space="preserve"> – A política de rua de Lula a Dilma. São Paulo: Companhia das Letras, 2023.</w:t>
      </w:r>
    </w:p>
    <w:p w14:paraId="40809305" w14:textId="77777777" w:rsidR="00694B2C" w:rsidRPr="009E3A67" w:rsidRDefault="00694B2C" w:rsidP="003F1C39">
      <w:pPr>
        <w:pStyle w:val="PargrafodaLista"/>
        <w:spacing w:after="0" w:line="240" w:lineRule="auto"/>
        <w:jc w:val="both"/>
        <w:rPr>
          <w:rFonts w:ascii="Times New Roman" w:hAnsi="Times New Roman" w:cs="Times New Roman"/>
          <w:sz w:val="24"/>
          <w:szCs w:val="24"/>
        </w:rPr>
      </w:pPr>
    </w:p>
    <w:p w14:paraId="1F94FEDC" w14:textId="77777777" w:rsidR="00785244" w:rsidRPr="009E3A67" w:rsidRDefault="00785244" w:rsidP="003F1C39">
      <w:pPr>
        <w:pStyle w:val="PargrafodaLista"/>
        <w:numPr>
          <w:ilvl w:val="0"/>
          <w:numId w:val="9"/>
        </w:numPr>
        <w:spacing w:after="0" w:line="240"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ARANTES, P. Esquerda e direita no espelho das ONGs. In: </w:t>
      </w:r>
      <w:r w:rsidRPr="009E3A67">
        <w:rPr>
          <w:rFonts w:ascii="Times New Roman" w:hAnsi="Times New Roman" w:cs="Times New Roman"/>
          <w:i/>
          <w:iCs/>
          <w:sz w:val="24"/>
          <w:szCs w:val="24"/>
        </w:rPr>
        <w:t>Zero à esquerda</w:t>
      </w:r>
      <w:r w:rsidRPr="009E3A67">
        <w:rPr>
          <w:rFonts w:ascii="Times New Roman" w:hAnsi="Times New Roman" w:cs="Times New Roman"/>
          <w:sz w:val="24"/>
          <w:szCs w:val="24"/>
        </w:rPr>
        <w:t>. São Paulo: Conrad, 2004a.</w:t>
      </w:r>
    </w:p>
    <w:p w14:paraId="320201CF" w14:textId="77777777" w:rsidR="00694B2C" w:rsidRPr="009E3A67" w:rsidRDefault="00694B2C" w:rsidP="003F1C39">
      <w:pPr>
        <w:pStyle w:val="PargrafodaLista"/>
        <w:spacing w:after="0" w:line="240" w:lineRule="auto"/>
        <w:jc w:val="both"/>
        <w:rPr>
          <w:rFonts w:ascii="Times New Roman" w:hAnsi="Times New Roman" w:cs="Times New Roman"/>
          <w:sz w:val="24"/>
          <w:szCs w:val="24"/>
        </w:rPr>
      </w:pPr>
    </w:p>
    <w:p w14:paraId="120C2B68"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____. O pensamento único e o marxista distraído. In: </w:t>
      </w:r>
      <w:r w:rsidRPr="008A7B7A">
        <w:rPr>
          <w:rFonts w:ascii="Times New Roman" w:hAnsi="Times New Roman" w:cs="Times New Roman"/>
          <w:i/>
          <w:iCs/>
          <w:sz w:val="24"/>
          <w:szCs w:val="24"/>
        </w:rPr>
        <w:t>Zero à esquerda</w:t>
      </w:r>
      <w:r w:rsidRPr="008A7B7A">
        <w:rPr>
          <w:rFonts w:ascii="Times New Roman" w:hAnsi="Times New Roman" w:cs="Times New Roman"/>
          <w:sz w:val="24"/>
          <w:szCs w:val="24"/>
        </w:rPr>
        <w:t>. São Paulo: Conrad, 2004b.</w:t>
      </w:r>
    </w:p>
    <w:p w14:paraId="77E9FA03" w14:textId="77777777" w:rsidR="00694B2C" w:rsidRPr="008A7B7A" w:rsidRDefault="00694B2C" w:rsidP="008A7B7A">
      <w:pPr>
        <w:pStyle w:val="PargrafodaLista"/>
        <w:spacing w:after="0" w:line="240" w:lineRule="auto"/>
        <w:ind w:left="0"/>
        <w:jc w:val="both"/>
        <w:rPr>
          <w:rFonts w:ascii="Times New Roman" w:hAnsi="Times New Roman" w:cs="Times New Roman"/>
          <w:sz w:val="24"/>
          <w:szCs w:val="24"/>
        </w:rPr>
      </w:pPr>
    </w:p>
    <w:p w14:paraId="66293EFF"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______. Fim de um ciclo mental. In: </w:t>
      </w:r>
      <w:r w:rsidRPr="008A7B7A">
        <w:rPr>
          <w:rFonts w:ascii="Times New Roman" w:hAnsi="Times New Roman" w:cs="Times New Roman"/>
          <w:i/>
          <w:iCs/>
          <w:sz w:val="24"/>
          <w:szCs w:val="24"/>
        </w:rPr>
        <w:t>Extinção</w:t>
      </w:r>
      <w:r w:rsidRPr="008A7B7A">
        <w:rPr>
          <w:rFonts w:ascii="Times New Roman" w:hAnsi="Times New Roman" w:cs="Times New Roman"/>
          <w:sz w:val="24"/>
          <w:szCs w:val="24"/>
        </w:rPr>
        <w:t>.</w:t>
      </w:r>
    </w:p>
    <w:p w14:paraId="5762AADB" w14:textId="77777777" w:rsidR="00694B2C" w:rsidRPr="008A7B7A" w:rsidRDefault="00694B2C" w:rsidP="008A7B7A">
      <w:pPr>
        <w:pStyle w:val="PargrafodaLista"/>
        <w:spacing w:after="0" w:line="240" w:lineRule="auto"/>
        <w:ind w:left="0"/>
        <w:jc w:val="both"/>
        <w:rPr>
          <w:rFonts w:ascii="Times New Roman" w:hAnsi="Times New Roman" w:cs="Times New Roman"/>
          <w:sz w:val="24"/>
          <w:szCs w:val="24"/>
        </w:rPr>
      </w:pPr>
    </w:p>
    <w:p w14:paraId="0D2B46ED" w14:textId="7D7AE93B"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______. Depois de junho a paz será total. In: </w:t>
      </w:r>
      <w:r w:rsidRPr="008A7B7A">
        <w:rPr>
          <w:rFonts w:ascii="Times New Roman" w:hAnsi="Times New Roman" w:cs="Times New Roman"/>
          <w:i/>
          <w:iCs/>
          <w:sz w:val="24"/>
          <w:szCs w:val="24"/>
        </w:rPr>
        <w:t>O novo tempo do mundo</w:t>
      </w:r>
      <w:r w:rsidRPr="008A7B7A">
        <w:rPr>
          <w:rFonts w:ascii="Times New Roman" w:hAnsi="Times New Roman" w:cs="Times New Roman"/>
          <w:sz w:val="24"/>
          <w:szCs w:val="24"/>
        </w:rPr>
        <w:t xml:space="preserve">: e outros estudos sobre a era da emergência. São Paulo: Boitempo, 2014. </w:t>
      </w:r>
    </w:p>
    <w:p w14:paraId="2983F28A"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BARROS, Celso Rocha de. </w:t>
      </w:r>
      <w:r w:rsidRPr="008A7B7A">
        <w:rPr>
          <w:rFonts w:ascii="Times New Roman" w:hAnsi="Times New Roman" w:cs="Times New Roman"/>
          <w:i/>
          <w:iCs/>
          <w:sz w:val="24"/>
          <w:szCs w:val="24"/>
        </w:rPr>
        <w:t>PT</w:t>
      </w:r>
      <w:r w:rsidRPr="008A7B7A">
        <w:rPr>
          <w:rFonts w:ascii="Times New Roman" w:hAnsi="Times New Roman" w:cs="Times New Roman"/>
          <w:sz w:val="24"/>
          <w:szCs w:val="24"/>
        </w:rPr>
        <w:t>: uma história. São Paulo: Companhia das Letras, 2022.</w:t>
      </w:r>
    </w:p>
    <w:p w14:paraId="7D71545F" w14:textId="77777777" w:rsidR="00785244" w:rsidRPr="008A7B7A" w:rsidRDefault="00785244" w:rsidP="008A7B7A">
      <w:pPr>
        <w:spacing w:after="0" w:line="240" w:lineRule="auto"/>
        <w:jc w:val="both"/>
        <w:rPr>
          <w:rFonts w:ascii="Times New Roman" w:hAnsi="Times New Roman" w:cs="Times New Roman"/>
          <w:sz w:val="24"/>
          <w:szCs w:val="24"/>
        </w:rPr>
      </w:pPr>
    </w:p>
    <w:p w14:paraId="7FBEBDDD"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CARVALHO, Laura. </w:t>
      </w:r>
      <w:r w:rsidRPr="008A7B7A">
        <w:rPr>
          <w:rFonts w:ascii="Times New Roman" w:hAnsi="Times New Roman" w:cs="Times New Roman"/>
          <w:i/>
          <w:iCs/>
          <w:sz w:val="24"/>
          <w:szCs w:val="24"/>
        </w:rPr>
        <w:t>Valsa brasileira</w:t>
      </w:r>
      <w:r w:rsidRPr="008A7B7A">
        <w:rPr>
          <w:rFonts w:ascii="Times New Roman" w:hAnsi="Times New Roman" w:cs="Times New Roman"/>
          <w:sz w:val="24"/>
          <w:szCs w:val="24"/>
        </w:rPr>
        <w:t>: do boom ao caos econômico. São Paulo: Todavia, 2018. </w:t>
      </w:r>
    </w:p>
    <w:p w14:paraId="73F91FA8" w14:textId="77777777" w:rsidR="00785244" w:rsidRPr="008A7B7A" w:rsidRDefault="00785244" w:rsidP="008A7B7A">
      <w:pPr>
        <w:spacing w:after="0" w:line="240" w:lineRule="auto"/>
        <w:jc w:val="both"/>
        <w:rPr>
          <w:rFonts w:ascii="Times New Roman" w:hAnsi="Times New Roman" w:cs="Times New Roman"/>
          <w:sz w:val="24"/>
          <w:szCs w:val="24"/>
        </w:rPr>
      </w:pPr>
    </w:p>
    <w:p w14:paraId="3740593B" w14:textId="330F94D3"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CHAUI, M. As manifestações de junho de 2013 na cidade de São Paulo. In: </w:t>
      </w:r>
      <w:r w:rsidRPr="008A7B7A">
        <w:rPr>
          <w:rFonts w:ascii="Times New Roman" w:hAnsi="Times New Roman" w:cs="Times New Roman"/>
          <w:i/>
          <w:iCs/>
          <w:sz w:val="24"/>
          <w:szCs w:val="24"/>
        </w:rPr>
        <w:t>Teoria e Debate</w:t>
      </w:r>
      <w:r w:rsidRPr="008A7B7A">
        <w:rPr>
          <w:rFonts w:ascii="Times New Roman" w:hAnsi="Times New Roman" w:cs="Times New Roman"/>
          <w:sz w:val="24"/>
          <w:szCs w:val="24"/>
        </w:rPr>
        <w:t xml:space="preserve">, edição 113, 27 jun. 2013. Disponível em: </w:t>
      </w:r>
      <w:hyperlink r:id="rId111" w:history="1">
        <w:r w:rsidR="003F1C39" w:rsidRPr="008A7B7A">
          <w:rPr>
            <w:rStyle w:val="Hyperlink"/>
            <w:rFonts w:ascii="Times New Roman" w:hAnsi="Times New Roman" w:cs="Times New Roman"/>
            <w:sz w:val="24"/>
            <w:szCs w:val="24"/>
          </w:rPr>
          <w:t>https://teoriaedebate.org.br/2013/06/27/%EF%BB%BFas-manifestacoes-de-junho-de-2013-na-cidade-de-sao-paulo/</w:t>
        </w:r>
      </w:hyperlink>
      <w:r w:rsidR="003F1C39" w:rsidRPr="008A7B7A">
        <w:rPr>
          <w:rFonts w:ascii="Times New Roman" w:hAnsi="Times New Roman" w:cs="Times New Roman"/>
          <w:sz w:val="24"/>
          <w:szCs w:val="24"/>
        </w:rPr>
        <w:t>.</w:t>
      </w:r>
      <w:r w:rsidRPr="008A7B7A">
        <w:rPr>
          <w:rFonts w:ascii="Times New Roman" w:hAnsi="Times New Roman" w:cs="Times New Roman"/>
          <w:sz w:val="24"/>
          <w:szCs w:val="24"/>
        </w:rPr>
        <w:t xml:space="preserve"> Acesso em: 1 mar 2025.</w:t>
      </w:r>
    </w:p>
    <w:p w14:paraId="3AAC072C" w14:textId="77777777" w:rsidR="00785244" w:rsidRPr="008A7B7A" w:rsidRDefault="00785244" w:rsidP="008A7B7A">
      <w:pPr>
        <w:spacing w:after="0" w:line="240" w:lineRule="auto"/>
        <w:jc w:val="both"/>
        <w:rPr>
          <w:rFonts w:ascii="Times New Roman" w:hAnsi="Times New Roman" w:cs="Times New Roman"/>
          <w:sz w:val="24"/>
          <w:szCs w:val="24"/>
        </w:rPr>
      </w:pPr>
    </w:p>
    <w:p w14:paraId="1F0E1E86" w14:textId="1F048710"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CORDEIRO, L.; MARTINS, C. Revolta popular: o limite da tática, 27 de maio de 2014. In: </w:t>
      </w:r>
      <w:r w:rsidRPr="008A7B7A">
        <w:rPr>
          <w:rFonts w:ascii="Times New Roman" w:hAnsi="Times New Roman" w:cs="Times New Roman"/>
          <w:i/>
          <w:iCs/>
          <w:sz w:val="24"/>
          <w:szCs w:val="24"/>
        </w:rPr>
        <w:t>Passa Palavra</w:t>
      </w:r>
      <w:r w:rsidRPr="008A7B7A">
        <w:rPr>
          <w:rFonts w:ascii="Times New Roman" w:hAnsi="Times New Roman" w:cs="Times New Roman"/>
          <w:sz w:val="24"/>
          <w:szCs w:val="24"/>
        </w:rPr>
        <w:t xml:space="preserve">. Disponível em: </w:t>
      </w:r>
      <w:hyperlink r:id="rId112" w:history="1">
        <w:r w:rsidR="003F1C39" w:rsidRPr="008A7B7A">
          <w:rPr>
            <w:rStyle w:val="Hyperlink"/>
            <w:rFonts w:ascii="Times New Roman" w:hAnsi="Times New Roman" w:cs="Times New Roman"/>
            <w:sz w:val="24"/>
            <w:szCs w:val="24"/>
          </w:rPr>
          <w:t>https://passapalavra.info/2014/05/95701</w:t>
        </w:r>
      </w:hyperlink>
      <w:r w:rsidR="003F1C39" w:rsidRPr="008A7B7A">
        <w:rPr>
          <w:rFonts w:ascii="Times New Roman" w:hAnsi="Times New Roman" w:cs="Times New Roman"/>
          <w:sz w:val="24"/>
          <w:szCs w:val="24"/>
        </w:rPr>
        <w:t>.</w:t>
      </w:r>
    </w:p>
    <w:p w14:paraId="08989026" w14:textId="77777777" w:rsidR="00785244" w:rsidRPr="008A7B7A" w:rsidRDefault="00785244" w:rsidP="008A7B7A">
      <w:pPr>
        <w:spacing w:after="0" w:line="240" w:lineRule="auto"/>
        <w:jc w:val="both"/>
        <w:rPr>
          <w:rFonts w:ascii="Times New Roman" w:hAnsi="Times New Roman" w:cs="Times New Roman"/>
          <w:sz w:val="24"/>
          <w:szCs w:val="24"/>
        </w:rPr>
      </w:pPr>
    </w:p>
    <w:p w14:paraId="5FDEB893"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Dieese, “Balanço das greves em 2013”. </w:t>
      </w:r>
      <w:r w:rsidRPr="008A7B7A">
        <w:rPr>
          <w:rFonts w:ascii="Times New Roman" w:hAnsi="Times New Roman" w:cs="Times New Roman"/>
          <w:i/>
          <w:iCs/>
          <w:sz w:val="24"/>
          <w:szCs w:val="24"/>
        </w:rPr>
        <w:t>Estudos e Pesquisas</w:t>
      </w:r>
      <w:r w:rsidRPr="008A7B7A">
        <w:rPr>
          <w:rFonts w:ascii="Times New Roman" w:hAnsi="Times New Roman" w:cs="Times New Roman"/>
          <w:sz w:val="24"/>
          <w:szCs w:val="24"/>
        </w:rPr>
        <w:t>, n. 79, 2015.</w:t>
      </w:r>
    </w:p>
    <w:p w14:paraId="1A156A74" w14:textId="77777777" w:rsidR="003F1C39" w:rsidRPr="008A7B7A" w:rsidRDefault="003F1C39" w:rsidP="008A7B7A">
      <w:pPr>
        <w:pStyle w:val="PargrafodaLista"/>
        <w:spacing w:after="0" w:line="240" w:lineRule="auto"/>
        <w:ind w:left="0"/>
        <w:jc w:val="both"/>
        <w:rPr>
          <w:rFonts w:ascii="Times New Roman" w:hAnsi="Times New Roman" w:cs="Times New Roman"/>
          <w:sz w:val="24"/>
          <w:szCs w:val="24"/>
        </w:rPr>
      </w:pPr>
    </w:p>
    <w:p w14:paraId="7E5BD722"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Dieese, “Balanço das greves em 2016”. </w:t>
      </w:r>
      <w:r w:rsidRPr="008A7B7A">
        <w:rPr>
          <w:rFonts w:ascii="Times New Roman" w:hAnsi="Times New Roman" w:cs="Times New Roman"/>
          <w:i/>
          <w:iCs/>
          <w:sz w:val="24"/>
          <w:szCs w:val="24"/>
        </w:rPr>
        <w:t>Estudos e Pesquisas</w:t>
      </w:r>
      <w:r w:rsidRPr="008A7B7A">
        <w:rPr>
          <w:rFonts w:ascii="Times New Roman" w:hAnsi="Times New Roman" w:cs="Times New Roman"/>
          <w:sz w:val="24"/>
          <w:szCs w:val="24"/>
        </w:rPr>
        <w:t>, n. 84, 2017.</w:t>
      </w:r>
    </w:p>
    <w:p w14:paraId="0E9CCF02" w14:textId="77777777" w:rsidR="00785244" w:rsidRPr="008A7B7A" w:rsidRDefault="00785244" w:rsidP="008A7B7A">
      <w:pPr>
        <w:spacing w:after="0" w:line="240" w:lineRule="auto"/>
        <w:jc w:val="both"/>
        <w:rPr>
          <w:rFonts w:ascii="Times New Roman" w:hAnsi="Times New Roman" w:cs="Times New Roman"/>
          <w:sz w:val="24"/>
          <w:szCs w:val="24"/>
        </w:rPr>
      </w:pPr>
    </w:p>
    <w:p w14:paraId="30BE2A96" w14:textId="77777777" w:rsidR="00785244" w:rsidRPr="008A7B7A" w:rsidRDefault="00785244" w:rsidP="008A7B7A">
      <w:pPr>
        <w:pStyle w:val="SemEspaamento"/>
        <w:numPr>
          <w:ilvl w:val="0"/>
          <w:numId w:val="9"/>
        </w:numPr>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GENOINO, J. Apresentação. In: MENDES, M. </w:t>
      </w:r>
      <w:r w:rsidRPr="008A7B7A">
        <w:rPr>
          <w:rFonts w:ascii="Times New Roman" w:hAnsi="Times New Roman" w:cs="Times New Roman"/>
          <w:i/>
          <w:iCs/>
          <w:sz w:val="24"/>
          <w:szCs w:val="24"/>
        </w:rPr>
        <w:t>Guerra híbrida e neogolpismo</w:t>
      </w:r>
      <w:r w:rsidRPr="008A7B7A">
        <w:rPr>
          <w:rFonts w:ascii="Times New Roman" w:hAnsi="Times New Roman" w:cs="Times New Roman"/>
          <w:sz w:val="24"/>
          <w:szCs w:val="24"/>
        </w:rPr>
        <w:t xml:space="preserve">: geopolítica e luta de classes no Brasil entre 2013 e 2018. São Paulo: Expressão Popular, 2022. </w:t>
      </w:r>
    </w:p>
    <w:p w14:paraId="35229347" w14:textId="77777777" w:rsidR="00785244" w:rsidRPr="008A7B7A" w:rsidRDefault="00785244" w:rsidP="008A7B7A">
      <w:pPr>
        <w:spacing w:after="0" w:line="240" w:lineRule="auto"/>
        <w:jc w:val="both"/>
        <w:rPr>
          <w:rFonts w:ascii="Times New Roman" w:hAnsi="Times New Roman" w:cs="Times New Roman"/>
          <w:sz w:val="24"/>
          <w:szCs w:val="24"/>
        </w:rPr>
      </w:pPr>
    </w:p>
    <w:p w14:paraId="0A78D44D"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lang w:val="en-US"/>
        </w:rPr>
      </w:pPr>
      <w:r w:rsidRPr="008A7B7A">
        <w:rPr>
          <w:rFonts w:ascii="Times New Roman" w:hAnsi="Times New Roman" w:cs="Times New Roman"/>
          <w:sz w:val="24"/>
          <w:szCs w:val="24"/>
        </w:rPr>
        <w:t xml:space="preserve">KORYBKO, A. </w:t>
      </w:r>
      <w:r w:rsidRPr="008A7B7A">
        <w:rPr>
          <w:rFonts w:ascii="Times New Roman" w:hAnsi="Times New Roman" w:cs="Times New Roman"/>
          <w:i/>
          <w:iCs/>
          <w:sz w:val="24"/>
          <w:szCs w:val="24"/>
        </w:rPr>
        <w:t>Guerras híbridas</w:t>
      </w:r>
      <w:r w:rsidRPr="008A7B7A">
        <w:rPr>
          <w:rFonts w:ascii="Times New Roman" w:hAnsi="Times New Roman" w:cs="Times New Roman"/>
          <w:sz w:val="24"/>
          <w:szCs w:val="24"/>
        </w:rPr>
        <w:t xml:space="preserve">: das revoluções coloridas aos golpes. </w:t>
      </w:r>
      <w:r w:rsidRPr="008A7B7A">
        <w:rPr>
          <w:rFonts w:ascii="Times New Roman" w:hAnsi="Times New Roman" w:cs="Times New Roman"/>
          <w:sz w:val="24"/>
          <w:szCs w:val="24"/>
          <w:lang w:val="en-US"/>
        </w:rPr>
        <w:t>Trad. Thyago Antunes. São Paulo: Expressão Popular, 2018.</w:t>
      </w:r>
    </w:p>
    <w:p w14:paraId="26737DE8" w14:textId="77777777" w:rsidR="00785244" w:rsidRPr="008A7B7A" w:rsidRDefault="00785244" w:rsidP="008A7B7A">
      <w:pPr>
        <w:spacing w:after="0" w:line="240" w:lineRule="auto"/>
        <w:jc w:val="both"/>
        <w:rPr>
          <w:rFonts w:ascii="Times New Roman" w:hAnsi="Times New Roman" w:cs="Times New Roman"/>
          <w:sz w:val="24"/>
          <w:szCs w:val="24"/>
          <w:lang w:val="en-US"/>
        </w:rPr>
      </w:pPr>
    </w:p>
    <w:p w14:paraId="37B1F690" w14:textId="77777777" w:rsidR="00785244" w:rsidRPr="008A7B7A" w:rsidRDefault="00785244" w:rsidP="008A7B7A">
      <w:pPr>
        <w:pStyle w:val="SemEspaamento"/>
        <w:numPr>
          <w:ilvl w:val="0"/>
          <w:numId w:val="9"/>
        </w:numPr>
        <w:ind w:left="0" w:firstLine="0"/>
        <w:jc w:val="both"/>
        <w:rPr>
          <w:rFonts w:ascii="Times New Roman" w:hAnsi="Times New Roman" w:cs="Times New Roman"/>
          <w:sz w:val="24"/>
          <w:szCs w:val="24"/>
        </w:rPr>
      </w:pPr>
      <w:r w:rsidRPr="008A7B7A">
        <w:rPr>
          <w:rFonts w:ascii="Times New Roman" w:hAnsi="Times New Roman" w:cs="Times New Roman"/>
          <w:sz w:val="24"/>
          <w:szCs w:val="24"/>
          <w:lang w:val="en-US"/>
        </w:rPr>
        <w:t xml:space="preserve">LENIN, V. “‘Left-Wing’ Communism – An Infantile Disorder”. In: </w:t>
      </w:r>
      <w:r w:rsidRPr="008A7B7A">
        <w:rPr>
          <w:rFonts w:ascii="Times New Roman" w:hAnsi="Times New Roman" w:cs="Times New Roman"/>
          <w:i/>
          <w:iCs/>
          <w:sz w:val="24"/>
          <w:szCs w:val="24"/>
          <w:lang w:val="en-US"/>
        </w:rPr>
        <w:t>Collected Works</w:t>
      </w:r>
      <w:r w:rsidRPr="008A7B7A">
        <w:rPr>
          <w:rFonts w:ascii="Times New Roman" w:hAnsi="Times New Roman" w:cs="Times New Roman"/>
          <w:sz w:val="24"/>
          <w:szCs w:val="24"/>
          <w:lang w:val="en-US"/>
        </w:rPr>
        <w:t xml:space="preserve">: Volume 31 April - December 1920. </w:t>
      </w:r>
      <w:r w:rsidRPr="008A7B7A">
        <w:rPr>
          <w:rFonts w:ascii="Times New Roman" w:hAnsi="Times New Roman" w:cs="Times New Roman"/>
          <w:sz w:val="24"/>
          <w:szCs w:val="24"/>
        </w:rPr>
        <w:t>Trad. Julius Katzer. London: Lawrence and Wishart, 1977.</w:t>
      </w:r>
    </w:p>
    <w:p w14:paraId="38359D61" w14:textId="77777777" w:rsidR="00785244" w:rsidRPr="008A7B7A" w:rsidRDefault="00785244" w:rsidP="008A7B7A">
      <w:pPr>
        <w:spacing w:after="0" w:line="240" w:lineRule="auto"/>
        <w:jc w:val="both"/>
        <w:rPr>
          <w:rFonts w:ascii="Times New Roman" w:hAnsi="Times New Roman" w:cs="Times New Roman"/>
          <w:sz w:val="24"/>
          <w:szCs w:val="24"/>
        </w:rPr>
      </w:pPr>
    </w:p>
    <w:p w14:paraId="7BE35A64"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MARX, K. </w:t>
      </w:r>
      <w:r w:rsidRPr="008A7B7A">
        <w:rPr>
          <w:rFonts w:ascii="Times New Roman" w:hAnsi="Times New Roman" w:cs="Times New Roman"/>
          <w:i/>
          <w:iCs/>
          <w:sz w:val="24"/>
          <w:szCs w:val="24"/>
        </w:rPr>
        <w:t>O 18 de brumário de Luís Bonaparte</w:t>
      </w:r>
      <w:r w:rsidRPr="008A7B7A">
        <w:rPr>
          <w:rFonts w:ascii="Times New Roman" w:hAnsi="Times New Roman" w:cs="Times New Roman"/>
          <w:sz w:val="24"/>
          <w:szCs w:val="24"/>
        </w:rPr>
        <w:t>. São Paulo: Boitempo, 2011.</w:t>
      </w:r>
    </w:p>
    <w:p w14:paraId="5C0FAB75" w14:textId="77777777" w:rsidR="00785244" w:rsidRPr="008A7B7A" w:rsidRDefault="00785244" w:rsidP="008A7B7A">
      <w:pPr>
        <w:spacing w:after="0" w:line="240" w:lineRule="auto"/>
        <w:jc w:val="both"/>
        <w:rPr>
          <w:rFonts w:ascii="Times New Roman" w:hAnsi="Times New Roman" w:cs="Times New Roman"/>
          <w:sz w:val="24"/>
          <w:szCs w:val="24"/>
        </w:rPr>
      </w:pPr>
    </w:p>
    <w:p w14:paraId="6835C7E1"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MEDEIROS, J. Guerras Híbridas, um panfleto pró-Putin e demofóbico. 2020. In: https://passapalavra.info/2020/01/129676/.</w:t>
      </w:r>
    </w:p>
    <w:p w14:paraId="7241DFB9" w14:textId="77777777" w:rsidR="00785244" w:rsidRPr="008A7B7A" w:rsidRDefault="00785244" w:rsidP="008A7B7A">
      <w:pPr>
        <w:spacing w:after="0" w:line="240" w:lineRule="auto"/>
        <w:jc w:val="both"/>
        <w:rPr>
          <w:rFonts w:ascii="Times New Roman" w:hAnsi="Times New Roman" w:cs="Times New Roman"/>
          <w:sz w:val="24"/>
          <w:szCs w:val="24"/>
        </w:rPr>
      </w:pPr>
    </w:p>
    <w:p w14:paraId="395D607C" w14:textId="77777777" w:rsidR="00785244" w:rsidRPr="008A7B7A" w:rsidRDefault="00785244" w:rsidP="008A7B7A">
      <w:pPr>
        <w:pStyle w:val="SemEspaamento"/>
        <w:numPr>
          <w:ilvl w:val="0"/>
          <w:numId w:val="9"/>
        </w:numPr>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MENDES, M. A revolução colorida brasileira. In: </w:t>
      </w:r>
      <w:r w:rsidRPr="008A7B7A">
        <w:rPr>
          <w:rFonts w:ascii="Times New Roman" w:hAnsi="Times New Roman" w:cs="Times New Roman"/>
          <w:i/>
          <w:iCs/>
          <w:sz w:val="24"/>
          <w:szCs w:val="24"/>
        </w:rPr>
        <w:t>Junho de 2013</w:t>
      </w:r>
      <w:r w:rsidRPr="008A7B7A">
        <w:rPr>
          <w:rFonts w:ascii="Times New Roman" w:hAnsi="Times New Roman" w:cs="Times New Roman"/>
          <w:sz w:val="24"/>
          <w:szCs w:val="24"/>
        </w:rPr>
        <w:t xml:space="preserve">: a rebelião fantasma. Org. ALTMAN, B.; CARLOTTO, M. São Paulo: Boitempo, 2023. </w:t>
      </w:r>
    </w:p>
    <w:p w14:paraId="4E4B5302" w14:textId="77777777" w:rsidR="00785244" w:rsidRPr="008A7B7A" w:rsidRDefault="00785244" w:rsidP="008A7B7A">
      <w:pPr>
        <w:spacing w:after="0" w:line="240" w:lineRule="auto"/>
        <w:jc w:val="both"/>
        <w:rPr>
          <w:rFonts w:ascii="Times New Roman" w:hAnsi="Times New Roman" w:cs="Times New Roman"/>
          <w:sz w:val="24"/>
          <w:szCs w:val="24"/>
        </w:rPr>
      </w:pPr>
    </w:p>
    <w:p w14:paraId="63B0D417"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MENDONÇA, C.; FUKS, M. Privação relativa e ativismo em protestos no Brasil: uma investigação sobre o horizonte do possível. In: </w:t>
      </w:r>
      <w:r w:rsidRPr="008A7B7A">
        <w:rPr>
          <w:rFonts w:ascii="Times New Roman" w:hAnsi="Times New Roman" w:cs="Times New Roman"/>
          <w:i/>
          <w:iCs/>
          <w:sz w:val="24"/>
          <w:szCs w:val="24"/>
        </w:rPr>
        <w:t>Opinião Pública</w:t>
      </w:r>
      <w:r w:rsidRPr="008A7B7A">
        <w:rPr>
          <w:rFonts w:ascii="Times New Roman" w:hAnsi="Times New Roman" w:cs="Times New Roman"/>
          <w:sz w:val="24"/>
          <w:szCs w:val="24"/>
        </w:rPr>
        <w:t>, v. 21, n. 3, p. 626–642, dez. 2015.</w:t>
      </w:r>
    </w:p>
    <w:p w14:paraId="11C55930" w14:textId="77777777" w:rsidR="00785244" w:rsidRPr="008A7B7A" w:rsidRDefault="00785244" w:rsidP="008A7B7A">
      <w:pPr>
        <w:spacing w:after="0" w:line="240" w:lineRule="auto"/>
        <w:jc w:val="both"/>
        <w:rPr>
          <w:rFonts w:ascii="Times New Roman" w:hAnsi="Times New Roman" w:cs="Times New Roman"/>
          <w:sz w:val="24"/>
          <w:szCs w:val="24"/>
        </w:rPr>
      </w:pPr>
    </w:p>
    <w:p w14:paraId="76451102"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NOBRE, M. </w:t>
      </w:r>
      <w:r w:rsidRPr="008A7B7A">
        <w:rPr>
          <w:rFonts w:ascii="Times New Roman" w:hAnsi="Times New Roman" w:cs="Times New Roman"/>
          <w:i/>
          <w:iCs/>
          <w:sz w:val="24"/>
          <w:szCs w:val="24"/>
        </w:rPr>
        <w:t>Imobilismo em movimento</w:t>
      </w:r>
      <w:r w:rsidRPr="008A7B7A">
        <w:rPr>
          <w:rFonts w:ascii="Times New Roman" w:hAnsi="Times New Roman" w:cs="Times New Roman"/>
          <w:sz w:val="24"/>
          <w:szCs w:val="24"/>
        </w:rPr>
        <w:t>: da abertura democrática ao governo Dilma. São Paulo: Companhia das Letras, 2013.</w:t>
      </w:r>
    </w:p>
    <w:p w14:paraId="4BF79D6F" w14:textId="77777777" w:rsidR="003F1C39" w:rsidRPr="008A7B7A" w:rsidRDefault="003F1C39" w:rsidP="008A7B7A">
      <w:pPr>
        <w:pStyle w:val="PargrafodaLista"/>
        <w:spacing w:after="0" w:line="240" w:lineRule="auto"/>
        <w:ind w:left="0"/>
        <w:jc w:val="both"/>
        <w:rPr>
          <w:rFonts w:ascii="Times New Roman" w:hAnsi="Times New Roman" w:cs="Times New Roman"/>
          <w:sz w:val="24"/>
          <w:szCs w:val="24"/>
        </w:rPr>
      </w:pPr>
    </w:p>
    <w:p w14:paraId="6B427C69" w14:textId="77777777" w:rsidR="003F1C39"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______. 1988 + 30. In: </w:t>
      </w:r>
      <w:r w:rsidRPr="008A7B7A">
        <w:rPr>
          <w:rFonts w:ascii="Times New Roman" w:hAnsi="Times New Roman" w:cs="Times New Roman"/>
          <w:i/>
          <w:iCs/>
          <w:sz w:val="24"/>
          <w:szCs w:val="24"/>
        </w:rPr>
        <w:t>Novos estudos CEBRAP</w:t>
      </w:r>
      <w:r w:rsidRPr="008A7B7A">
        <w:rPr>
          <w:rFonts w:ascii="Times New Roman" w:hAnsi="Times New Roman" w:cs="Times New Roman"/>
          <w:sz w:val="24"/>
          <w:szCs w:val="24"/>
        </w:rPr>
        <w:t>, v. 35, n. 2, p. 135–149, jul. 2016.</w:t>
      </w:r>
    </w:p>
    <w:p w14:paraId="70ABC93E" w14:textId="77777777" w:rsidR="003F1C39" w:rsidRPr="008A7B7A" w:rsidRDefault="003F1C39" w:rsidP="008A7B7A">
      <w:pPr>
        <w:pStyle w:val="PargrafodaLista"/>
        <w:spacing w:after="0" w:line="240" w:lineRule="auto"/>
        <w:ind w:left="0"/>
        <w:rPr>
          <w:rFonts w:ascii="Times New Roman" w:hAnsi="Times New Roman" w:cs="Times New Roman"/>
          <w:sz w:val="24"/>
          <w:szCs w:val="24"/>
        </w:rPr>
      </w:pPr>
    </w:p>
    <w:p w14:paraId="7053D9CC"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______. </w:t>
      </w:r>
      <w:r w:rsidRPr="008A7B7A">
        <w:rPr>
          <w:rFonts w:ascii="Times New Roman" w:hAnsi="Times New Roman" w:cs="Times New Roman"/>
          <w:i/>
          <w:iCs/>
          <w:sz w:val="24"/>
          <w:szCs w:val="24"/>
        </w:rPr>
        <w:t>Limites da democracia</w:t>
      </w:r>
      <w:r w:rsidRPr="008A7B7A">
        <w:rPr>
          <w:rFonts w:ascii="Times New Roman" w:hAnsi="Times New Roman" w:cs="Times New Roman"/>
          <w:sz w:val="24"/>
          <w:szCs w:val="24"/>
        </w:rPr>
        <w:t>: de junho de 2013 ao governo Bolsonaro. São Paulo: Todavia, 2022.</w:t>
      </w:r>
    </w:p>
    <w:p w14:paraId="6CF48FD0" w14:textId="77777777" w:rsidR="00785244" w:rsidRPr="008A7B7A" w:rsidRDefault="00785244" w:rsidP="008A7B7A">
      <w:pPr>
        <w:spacing w:after="0" w:line="240" w:lineRule="auto"/>
        <w:jc w:val="both"/>
        <w:rPr>
          <w:rFonts w:ascii="Times New Roman" w:hAnsi="Times New Roman" w:cs="Times New Roman"/>
          <w:sz w:val="24"/>
          <w:szCs w:val="24"/>
        </w:rPr>
      </w:pPr>
    </w:p>
    <w:p w14:paraId="7D3DFE05"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NUNES, R. </w:t>
      </w:r>
      <w:r w:rsidRPr="008A7B7A">
        <w:rPr>
          <w:rFonts w:ascii="Times New Roman" w:hAnsi="Times New Roman" w:cs="Times New Roman"/>
          <w:i/>
          <w:iCs/>
          <w:sz w:val="24"/>
          <w:szCs w:val="24"/>
        </w:rPr>
        <w:t>Do transe à vertigem</w:t>
      </w:r>
      <w:r w:rsidRPr="008A7B7A">
        <w:rPr>
          <w:rFonts w:ascii="Times New Roman" w:hAnsi="Times New Roman" w:cs="Times New Roman"/>
          <w:sz w:val="24"/>
          <w:szCs w:val="24"/>
        </w:rPr>
        <w:t>: ensaios sobre o bolsonarismo e um mundo em transição. São Paulo: Ubu Editora, 2022.</w:t>
      </w:r>
    </w:p>
    <w:p w14:paraId="4E46EF8A" w14:textId="77777777" w:rsidR="00785244" w:rsidRPr="008A7B7A" w:rsidRDefault="00785244" w:rsidP="008A7B7A">
      <w:pPr>
        <w:spacing w:after="0" w:line="240" w:lineRule="auto"/>
        <w:jc w:val="both"/>
        <w:rPr>
          <w:rFonts w:ascii="Times New Roman" w:hAnsi="Times New Roman" w:cs="Times New Roman"/>
          <w:sz w:val="24"/>
          <w:szCs w:val="24"/>
        </w:rPr>
      </w:pPr>
    </w:p>
    <w:p w14:paraId="1743C079"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PAULANI, L. A crise do regime de acumulação com dominância da valorização financeira e a situação do Brasil. In:</w:t>
      </w:r>
      <w:r w:rsidRPr="008A7B7A">
        <w:rPr>
          <w:rFonts w:ascii="Times New Roman" w:hAnsi="Times New Roman" w:cs="Times New Roman"/>
          <w:i/>
          <w:iCs/>
          <w:sz w:val="24"/>
          <w:szCs w:val="24"/>
        </w:rPr>
        <w:t xml:space="preserve"> Estudos Avançados</w:t>
      </w:r>
      <w:r w:rsidRPr="008A7B7A">
        <w:rPr>
          <w:rFonts w:ascii="Times New Roman" w:hAnsi="Times New Roman" w:cs="Times New Roman"/>
          <w:sz w:val="24"/>
          <w:szCs w:val="24"/>
        </w:rPr>
        <w:t>, vol. 23, n. 66, São Paulo, p. 25-39, 2009.</w:t>
      </w:r>
    </w:p>
    <w:p w14:paraId="15AC2949" w14:textId="77777777" w:rsidR="00785244" w:rsidRPr="008A7B7A" w:rsidRDefault="00785244" w:rsidP="008A7B7A">
      <w:pPr>
        <w:spacing w:after="0" w:line="240" w:lineRule="auto"/>
        <w:jc w:val="both"/>
        <w:rPr>
          <w:rFonts w:ascii="Times New Roman" w:hAnsi="Times New Roman" w:cs="Times New Roman"/>
          <w:sz w:val="24"/>
          <w:szCs w:val="24"/>
        </w:rPr>
      </w:pPr>
    </w:p>
    <w:p w14:paraId="08B8A313"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ROCHA, C. As direitas não precisaram de Junho de 2013. In: </w:t>
      </w:r>
      <w:r w:rsidRPr="008A7B7A">
        <w:rPr>
          <w:rFonts w:ascii="Times New Roman" w:hAnsi="Times New Roman" w:cs="Times New Roman"/>
          <w:i/>
          <w:iCs/>
          <w:sz w:val="24"/>
          <w:szCs w:val="24"/>
        </w:rPr>
        <w:t>Junho de 2013</w:t>
      </w:r>
      <w:r w:rsidRPr="008A7B7A">
        <w:rPr>
          <w:rFonts w:ascii="Times New Roman" w:hAnsi="Times New Roman" w:cs="Times New Roman"/>
          <w:sz w:val="24"/>
          <w:szCs w:val="24"/>
        </w:rPr>
        <w:t>: a rebelião fantasma. Org. ALTMAN, B,; CARLOTTO, M. São Paulo: Boitempo, 2023.</w:t>
      </w:r>
    </w:p>
    <w:p w14:paraId="2E54C34E" w14:textId="77777777" w:rsidR="00785244" w:rsidRPr="008A7B7A" w:rsidRDefault="00785244" w:rsidP="008A7B7A">
      <w:pPr>
        <w:spacing w:after="0" w:line="240" w:lineRule="auto"/>
        <w:jc w:val="both"/>
        <w:rPr>
          <w:rFonts w:ascii="Times New Roman" w:hAnsi="Times New Roman" w:cs="Times New Roman"/>
          <w:sz w:val="24"/>
          <w:szCs w:val="24"/>
        </w:rPr>
      </w:pPr>
    </w:p>
    <w:p w14:paraId="06B92726"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SAFATLE, V. O mito do desenvolvimento econômico na era Lula. In: Pedro de Souza. (Org.). In: </w:t>
      </w:r>
      <w:r w:rsidRPr="008A7B7A">
        <w:rPr>
          <w:rFonts w:ascii="Times New Roman" w:hAnsi="Times New Roman" w:cs="Times New Roman"/>
          <w:i/>
          <w:iCs/>
          <w:sz w:val="24"/>
          <w:szCs w:val="24"/>
        </w:rPr>
        <w:t>Brasil, Sociedade em Movimento</w:t>
      </w:r>
      <w:r w:rsidRPr="008A7B7A">
        <w:rPr>
          <w:rFonts w:ascii="Times New Roman" w:hAnsi="Times New Roman" w:cs="Times New Roman"/>
          <w:sz w:val="24"/>
          <w:szCs w:val="24"/>
        </w:rPr>
        <w:t>. 1ed.São Paulo: Paz e Terra, 2015, v. 1, p. 71-76.</w:t>
      </w:r>
    </w:p>
    <w:p w14:paraId="6124A4D3" w14:textId="77777777" w:rsidR="001A610F" w:rsidRPr="008A7B7A" w:rsidRDefault="001A610F" w:rsidP="008A7B7A">
      <w:pPr>
        <w:pStyle w:val="PargrafodaLista"/>
        <w:spacing w:after="0" w:line="240" w:lineRule="auto"/>
        <w:ind w:left="0"/>
        <w:rPr>
          <w:rFonts w:ascii="Times New Roman" w:hAnsi="Times New Roman" w:cs="Times New Roman"/>
          <w:sz w:val="24"/>
          <w:szCs w:val="24"/>
        </w:rPr>
      </w:pPr>
    </w:p>
    <w:p w14:paraId="081F844C"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______. O dia no qual o Brasil parou por dez anos. In: </w:t>
      </w:r>
      <w:r w:rsidRPr="008A7B7A">
        <w:rPr>
          <w:rFonts w:ascii="Times New Roman" w:hAnsi="Times New Roman" w:cs="Times New Roman"/>
          <w:i/>
          <w:iCs/>
          <w:sz w:val="24"/>
          <w:szCs w:val="24"/>
        </w:rPr>
        <w:t>Junho de 2013</w:t>
      </w:r>
      <w:r w:rsidRPr="008A7B7A">
        <w:rPr>
          <w:rFonts w:ascii="Times New Roman" w:hAnsi="Times New Roman" w:cs="Times New Roman"/>
          <w:sz w:val="24"/>
          <w:szCs w:val="24"/>
        </w:rPr>
        <w:t>: a rebelião fantasma. Org. ALTMAN, B,; CARLOTTO, M. São Paulo: Boitempo, 2023.</w:t>
      </w:r>
    </w:p>
    <w:p w14:paraId="25D7CEE7" w14:textId="77777777" w:rsidR="00785244" w:rsidRPr="008A7B7A" w:rsidRDefault="00785244" w:rsidP="008A7B7A">
      <w:pPr>
        <w:spacing w:after="0" w:line="240" w:lineRule="auto"/>
        <w:jc w:val="both"/>
        <w:rPr>
          <w:rFonts w:ascii="Times New Roman" w:hAnsi="Times New Roman" w:cs="Times New Roman"/>
          <w:sz w:val="24"/>
          <w:szCs w:val="24"/>
        </w:rPr>
      </w:pPr>
    </w:p>
    <w:p w14:paraId="63292C90"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SHARP, G. </w:t>
      </w:r>
      <w:r w:rsidRPr="008A7B7A">
        <w:rPr>
          <w:rFonts w:ascii="Times New Roman" w:hAnsi="Times New Roman" w:cs="Times New Roman"/>
          <w:i/>
          <w:iCs/>
          <w:sz w:val="24"/>
          <w:szCs w:val="24"/>
        </w:rPr>
        <w:t>Da ditadura à democracia</w:t>
      </w:r>
      <w:r w:rsidRPr="008A7B7A">
        <w:rPr>
          <w:rFonts w:ascii="Times New Roman" w:hAnsi="Times New Roman" w:cs="Times New Roman"/>
          <w:sz w:val="24"/>
          <w:szCs w:val="24"/>
        </w:rPr>
        <w:t>: uma estrutura conceitual para a libertação. São Paulo: The Albert Einstein Institution, 2010.</w:t>
      </w:r>
    </w:p>
    <w:p w14:paraId="3D9F7671" w14:textId="77777777" w:rsidR="00785244" w:rsidRPr="008A7B7A" w:rsidRDefault="00785244" w:rsidP="008A7B7A">
      <w:pPr>
        <w:spacing w:after="0" w:line="240" w:lineRule="auto"/>
        <w:jc w:val="both"/>
        <w:rPr>
          <w:rFonts w:ascii="Times New Roman" w:hAnsi="Times New Roman" w:cs="Times New Roman"/>
          <w:sz w:val="24"/>
          <w:szCs w:val="24"/>
        </w:rPr>
      </w:pPr>
    </w:p>
    <w:p w14:paraId="04928691"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SINGER, A. </w:t>
      </w:r>
      <w:r w:rsidRPr="008A7B7A">
        <w:rPr>
          <w:rFonts w:ascii="Times New Roman" w:hAnsi="Times New Roman" w:cs="Times New Roman"/>
          <w:i/>
          <w:iCs/>
          <w:sz w:val="24"/>
          <w:szCs w:val="24"/>
        </w:rPr>
        <w:t>Os sentidos do lulismo</w:t>
      </w:r>
      <w:r w:rsidRPr="008A7B7A">
        <w:rPr>
          <w:rFonts w:ascii="Times New Roman" w:hAnsi="Times New Roman" w:cs="Times New Roman"/>
          <w:sz w:val="24"/>
          <w:szCs w:val="24"/>
        </w:rPr>
        <w:t>: reforma gradual e pacto conservador</w:t>
      </w:r>
      <w:r w:rsidRPr="008A7B7A">
        <w:rPr>
          <w:rFonts w:ascii="Times New Roman" w:hAnsi="Times New Roman" w:cs="Times New Roman"/>
          <w:i/>
          <w:iCs/>
          <w:sz w:val="24"/>
          <w:szCs w:val="24"/>
        </w:rPr>
        <w:t xml:space="preserve">. </w:t>
      </w:r>
      <w:r w:rsidRPr="008A7B7A">
        <w:rPr>
          <w:rFonts w:ascii="Times New Roman" w:hAnsi="Times New Roman" w:cs="Times New Roman"/>
          <w:sz w:val="24"/>
          <w:szCs w:val="24"/>
        </w:rPr>
        <w:t>São Paulo: Companhia das Letras, 2012.</w:t>
      </w:r>
    </w:p>
    <w:p w14:paraId="5775C270" w14:textId="77777777" w:rsidR="003F1C39" w:rsidRPr="008A7B7A" w:rsidRDefault="003F1C39" w:rsidP="008A7B7A">
      <w:pPr>
        <w:pStyle w:val="PargrafodaLista"/>
        <w:spacing w:after="0" w:line="240" w:lineRule="auto"/>
        <w:ind w:left="0"/>
        <w:rPr>
          <w:rFonts w:ascii="Times New Roman" w:hAnsi="Times New Roman" w:cs="Times New Roman"/>
          <w:sz w:val="24"/>
          <w:szCs w:val="24"/>
        </w:rPr>
      </w:pPr>
    </w:p>
    <w:p w14:paraId="0441279F"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______. Brasil, junho de 2013, classes e ideologias cruzadas. In: </w:t>
      </w:r>
      <w:r w:rsidRPr="008A7B7A">
        <w:rPr>
          <w:rFonts w:ascii="Times New Roman" w:hAnsi="Times New Roman" w:cs="Times New Roman"/>
          <w:i/>
          <w:iCs/>
          <w:sz w:val="24"/>
          <w:szCs w:val="24"/>
        </w:rPr>
        <w:t>Novos Estudos</w:t>
      </w:r>
      <w:r w:rsidRPr="008A7B7A">
        <w:rPr>
          <w:rFonts w:ascii="Times New Roman" w:hAnsi="Times New Roman" w:cs="Times New Roman"/>
          <w:sz w:val="24"/>
          <w:szCs w:val="24"/>
        </w:rPr>
        <w:t>. São Paulo: Cebrap, nº 97, novembro de 2013.</w:t>
      </w:r>
    </w:p>
    <w:p w14:paraId="4DF5C113" w14:textId="77777777" w:rsidR="003F1C39" w:rsidRPr="008A7B7A" w:rsidRDefault="003F1C39" w:rsidP="008A7B7A">
      <w:pPr>
        <w:pStyle w:val="PargrafodaLista"/>
        <w:spacing w:after="0" w:line="240" w:lineRule="auto"/>
        <w:ind w:left="0"/>
        <w:rPr>
          <w:rFonts w:ascii="Times New Roman" w:hAnsi="Times New Roman" w:cs="Times New Roman"/>
          <w:sz w:val="24"/>
          <w:szCs w:val="24"/>
        </w:rPr>
      </w:pPr>
    </w:p>
    <w:p w14:paraId="5299A20D"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______. Cutucando onças com varas curtas. In: </w:t>
      </w:r>
      <w:r w:rsidRPr="008A7B7A">
        <w:rPr>
          <w:rFonts w:ascii="Times New Roman" w:hAnsi="Times New Roman" w:cs="Times New Roman"/>
          <w:i/>
          <w:iCs/>
          <w:sz w:val="24"/>
          <w:szCs w:val="24"/>
        </w:rPr>
        <w:t>Novos Estudos</w:t>
      </w:r>
      <w:r w:rsidRPr="008A7B7A">
        <w:rPr>
          <w:rFonts w:ascii="Times New Roman" w:hAnsi="Times New Roman" w:cs="Times New Roman"/>
          <w:sz w:val="24"/>
          <w:szCs w:val="24"/>
        </w:rPr>
        <w:t xml:space="preserve"> CEBRAP, n. 102, p. 43-71, 2015.</w:t>
      </w:r>
    </w:p>
    <w:p w14:paraId="34EB5E62" w14:textId="77777777" w:rsidR="003F1C39" w:rsidRPr="008A7B7A" w:rsidRDefault="003F1C39" w:rsidP="008A7B7A">
      <w:pPr>
        <w:pStyle w:val="PargrafodaLista"/>
        <w:spacing w:after="0" w:line="240" w:lineRule="auto"/>
        <w:ind w:left="0"/>
        <w:rPr>
          <w:rFonts w:ascii="Times New Roman" w:hAnsi="Times New Roman" w:cs="Times New Roman"/>
          <w:sz w:val="24"/>
          <w:szCs w:val="24"/>
        </w:rPr>
      </w:pPr>
    </w:p>
    <w:p w14:paraId="6AEABBC4"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______. </w:t>
      </w:r>
      <w:r w:rsidRPr="008A7B7A">
        <w:rPr>
          <w:rFonts w:ascii="Times New Roman" w:hAnsi="Times New Roman" w:cs="Times New Roman"/>
          <w:i/>
          <w:iCs/>
          <w:sz w:val="24"/>
          <w:szCs w:val="24"/>
        </w:rPr>
        <w:t>O lulismo em crise</w:t>
      </w:r>
      <w:r w:rsidRPr="008A7B7A">
        <w:rPr>
          <w:rFonts w:ascii="Times New Roman" w:hAnsi="Times New Roman" w:cs="Times New Roman"/>
          <w:sz w:val="24"/>
          <w:szCs w:val="24"/>
        </w:rPr>
        <w:t xml:space="preserve"> – um quebra-cabeça do período Dilma (2011-2016). São Paulo: Companhia das Letras, 2018. </w:t>
      </w:r>
    </w:p>
    <w:p w14:paraId="0250B313" w14:textId="77777777" w:rsidR="00785244" w:rsidRPr="008A7B7A" w:rsidRDefault="00785244" w:rsidP="008A7B7A">
      <w:pPr>
        <w:spacing w:after="0" w:line="240" w:lineRule="auto"/>
        <w:jc w:val="both"/>
        <w:rPr>
          <w:rFonts w:ascii="Times New Roman" w:hAnsi="Times New Roman" w:cs="Times New Roman"/>
          <w:sz w:val="24"/>
          <w:szCs w:val="24"/>
        </w:rPr>
      </w:pPr>
    </w:p>
    <w:p w14:paraId="6CF285AA"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TOCQUEVILLE, A. </w:t>
      </w:r>
      <w:r w:rsidRPr="008A7B7A">
        <w:rPr>
          <w:rFonts w:ascii="Times New Roman" w:hAnsi="Times New Roman" w:cs="Times New Roman"/>
          <w:i/>
          <w:iCs/>
          <w:sz w:val="24"/>
          <w:szCs w:val="24"/>
        </w:rPr>
        <w:t>O Antigo Regime e a Revolução</w:t>
      </w:r>
      <w:r w:rsidRPr="008A7B7A">
        <w:rPr>
          <w:rFonts w:ascii="Times New Roman" w:hAnsi="Times New Roman" w:cs="Times New Roman"/>
          <w:sz w:val="24"/>
          <w:szCs w:val="24"/>
        </w:rPr>
        <w:t>. São Paulo: WMF Martins Fontes, 2009.</w:t>
      </w:r>
    </w:p>
    <w:p w14:paraId="7D22460B" w14:textId="77777777" w:rsidR="00785244" w:rsidRPr="008A7B7A" w:rsidRDefault="00785244" w:rsidP="008A7B7A">
      <w:pPr>
        <w:spacing w:after="0" w:line="240" w:lineRule="auto"/>
        <w:jc w:val="both"/>
        <w:rPr>
          <w:rFonts w:ascii="Times New Roman" w:hAnsi="Times New Roman" w:cs="Times New Roman"/>
          <w:sz w:val="24"/>
          <w:szCs w:val="24"/>
        </w:rPr>
      </w:pPr>
    </w:p>
    <w:p w14:paraId="26E607B0"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lang w:val="en-US"/>
        </w:rPr>
      </w:pPr>
      <w:r w:rsidRPr="008A7B7A">
        <w:rPr>
          <w:rFonts w:ascii="Times New Roman" w:hAnsi="Times New Roman" w:cs="Times New Roman"/>
          <w:sz w:val="24"/>
          <w:szCs w:val="24"/>
        </w:rPr>
        <w:t>VIANA, S.</w:t>
      </w:r>
      <w:r w:rsidRPr="008A7B7A">
        <w:rPr>
          <w:rFonts w:ascii="Times New Roman" w:eastAsia="Times New Roman" w:hAnsi="Times New Roman" w:cs="Times New Roman"/>
          <w:color w:val="000000"/>
          <w:sz w:val="24"/>
          <w:szCs w:val="24"/>
          <w:lang w:eastAsia="pt-BR"/>
        </w:rPr>
        <w:t xml:space="preserve"> </w:t>
      </w:r>
      <w:r w:rsidRPr="008A7B7A">
        <w:rPr>
          <w:rFonts w:ascii="Times New Roman" w:hAnsi="Times New Roman" w:cs="Times New Roman"/>
          <w:sz w:val="24"/>
          <w:szCs w:val="24"/>
        </w:rPr>
        <w:t xml:space="preserve">Será que formulamos mal a pergunta?. </w:t>
      </w:r>
      <w:r w:rsidRPr="008A7B7A">
        <w:rPr>
          <w:rFonts w:ascii="Times New Roman" w:hAnsi="Times New Roman" w:cs="Times New Roman"/>
          <w:sz w:val="24"/>
          <w:szCs w:val="24"/>
          <w:lang w:val="it-IT"/>
        </w:rPr>
        <w:t xml:space="preserve">In: MARICATO, E. et al. </w:t>
      </w:r>
      <w:r w:rsidRPr="008A7B7A">
        <w:rPr>
          <w:rFonts w:ascii="Times New Roman" w:hAnsi="Times New Roman" w:cs="Times New Roman"/>
          <w:i/>
          <w:iCs/>
          <w:sz w:val="24"/>
          <w:szCs w:val="24"/>
        </w:rPr>
        <w:t>Cidades rebeldes</w:t>
      </w:r>
      <w:r w:rsidRPr="008A7B7A">
        <w:rPr>
          <w:rFonts w:ascii="Times New Roman" w:hAnsi="Times New Roman" w:cs="Times New Roman"/>
          <w:sz w:val="24"/>
          <w:szCs w:val="24"/>
        </w:rPr>
        <w:t xml:space="preserve"> [recurso eletrônico]: Passe Livre e as manifestações que tomaram as ruas do Brasil. </w:t>
      </w:r>
      <w:r w:rsidRPr="008A7B7A">
        <w:rPr>
          <w:rFonts w:ascii="Times New Roman" w:hAnsi="Times New Roman" w:cs="Times New Roman"/>
          <w:sz w:val="24"/>
          <w:szCs w:val="24"/>
          <w:lang w:val="en-US"/>
        </w:rPr>
        <w:t>1. ed. São Paulo: Boitempo, 2013.</w:t>
      </w:r>
    </w:p>
    <w:p w14:paraId="76F1397D" w14:textId="77777777" w:rsidR="003F1C39" w:rsidRPr="008A7B7A" w:rsidRDefault="003F1C39" w:rsidP="008A7B7A">
      <w:pPr>
        <w:spacing w:after="0" w:line="240" w:lineRule="auto"/>
        <w:jc w:val="both"/>
        <w:rPr>
          <w:rFonts w:ascii="Times New Roman" w:hAnsi="Times New Roman" w:cs="Times New Roman"/>
          <w:sz w:val="24"/>
          <w:szCs w:val="24"/>
          <w:lang w:val="en-US"/>
        </w:rPr>
      </w:pPr>
    </w:p>
    <w:p w14:paraId="3BB426BC"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lang w:val="it-IT"/>
        </w:rPr>
      </w:pPr>
      <w:r w:rsidRPr="008A7B7A">
        <w:rPr>
          <w:rFonts w:ascii="Times New Roman" w:hAnsi="Times New Roman" w:cs="Times New Roman"/>
          <w:sz w:val="24"/>
          <w:szCs w:val="24"/>
          <w:lang w:val="en-US"/>
        </w:rPr>
        <w:t xml:space="preserve">ŽIŽEK, S. </w:t>
      </w:r>
      <w:r w:rsidRPr="008A7B7A">
        <w:rPr>
          <w:rFonts w:ascii="Times New Roman" w:hAnsi="Times New Roman" w:cs="Times New Roman"/>
          <w:i/>
          <w:iCs/>
          <w:sz w:val="24"/>
          <w:szCs w:val="24"/>
          <w:lang w:val="en-US"/>
        </w:rPr>
        <w:t>In defense of lost causes</w:t>
      </w:r>
      <w:r w:rsidRPr="008A7B7A">
        <w:rPr>
          <w:rFonts w:ascii="Times New Roman" w:hAnsi="Times New Roman" w:cs="Times New Roman"/>
          <w:sz w:val="24"/>
          <w:szCs w:val="24"/>
          <w:lang w:val="en-US"/>
        </w:rPr>
        <w:t xml:space="preserve">. </w:t>
      </w:r>
      <w:r w:rsidRPr="008A7B7A">
        <w:rPr>
          <w:rFonts w:ascii="Times New Roman" w:hAnsi="Times New Roman" w:cs="Times New Roman"/>
          <w:sz w:val="24"/>
          <w:szCs w:val="24"/>
          <w:lang w:val="it-IT"/>
        </w:rPr>
        <w:t>New York: Verso, 2008.</w:t>
      </w:r>
    </w:p>
    <w:p w14:paraId="20202DB8" w14:textId="77777777" w:rsidR="003F1C39" w:rsidRPr="008A7B7A" w:rsidRDefault="003F1C39" w:rsidP="008A7B7A">
      <w:pPr>
        <w:pStyle w:val="PargrafodaLista"/>
        <w:spacing w:after="0" w:line="240" w:lineRule="auto"/>
        <w:ind w:left="0"/>
        <w:jc w:val="both"/>
        <w:rPr>
          <w:rFonts w:ascii="Times New Roman" w:hAnsi="Times New Roman" w:cs="Times New Roman"/>
          <w:sz w:val="24"/>
          <w:szCs w:val="24"/>
          <w:lang w:val="it-IT"/>
        </w:rPr>
      </w:pPr>
    </w:p>
    <w:p w14:paraId="093ED2B7" w14:textId="77777777" w:rsidR="00785244" w:rsidRPr="008A7B7A" w:rsidRDefault="00785244" w:rsidP="008A7B7A">
      <w:pPr>
        <w:pStyle w:val="PargrafodaLista"/>
        <w:numPr>
          <w:ilvl w:val="0"/>
          <w:numId w:val="9"/>
        </w:numPr>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lang w:val="it-IT"/>
        </w:rPr>
        <w:t xml:space="preserve">______. Problemas no Paraíso. In: MARICATO, E. et al. </w:t>
      </w:r>
      <w:r w:rsidRPr="008A7B7A">
        <w:rPr>
          <w:rFonts w:ascii="Times New Roman" w:hAnsi="Times New Roman" w:cs="Times New Roman"/>
          <w:i/>
          <w:iCs/>
          <w:sz w:val="24"/>
          <w:szCs w:val="24"/>
        </w:rPr>
        <w:t>Cidades rebeldes</w:t>
      </w:r>
      <w:r w:rsidRPr="008A7B7A">
        <w:rPr>
          <w:rFonts w:ascii="Times New Roman" w:hAnsi="Times New Roman" w:cs="Times New Roman"/>
          <w:sz w:val="24"/>
          <w:szCs w:val="24"/>
        </w:rPr>
        <w:t xml:space="preserve"> [recurso eletrônico]: Passe Livre e as manifestações que tomaram as ruas do Brasil. 1. ed. São Paulo: Boitempo, 2013.</w:t>
      </w:r>
    </w:p>
    <w:p w14:paraId="4A2676D8" w14:textId="77777777" w:rsidR="00DE61BE" w:rsidRPr="009E3A67" w:rsidRDefault="00DE61BE" w:rsidP="003F1C39">
      <w:pPr>
        <w:tabs>
          <w:tab w:val="left" w:pos="3150"/>
        </w:tabs>
        <w:spacing w:after="0" w:line="240" w:lineRule="auto"/>
        <w:jc w:val="both"/>
        <w:rPr>
          <w:rFonts w:ascii="Times New Roman" w:hAnsi="Times New Roman" w:cs="Times New Roman"/>
          <w:b/>
          <w:sz w:val="24"/>
          <w:szCs w:val="24"/>
        </w:rPr>
      </w:pPr>
    </w:p>
    <w:p w14:paraId="40AA176F" w14:textId="77777777" w:rsidR="00DE61BE" w:rsidRPr="009E3A67" w:rsidRDefault="00DE61BE" w:rsidP="003F1C39">
      <w:pPr>
        <w:tabs>
          <w:tab w:val="left" w:pos="3150"/>
        </w:tabs>
        <w:spacing w:after="0" w:line="240" w:lineRule="auto"/>
        <w:jc w:val="both"/>
        <w:rPr>
          <w:rFonts w:ascii="Times New Roman" w:hAnsi="Times New Roman" w:cs="Times New Roman"/>
          <w:b/>
          <w:sz w:val="24"/>
          <w:szCs w:val="24"/>
        </w:rPr>
      </w:pPr>
    </w:p>
    <w:p w14:paraId="5851C46E" w14:textId="77777777" w:rsidR="00DE61BE" w:rsidRPr="009E3A67" w:rsidRDefault="00DE61BE" w:rsidP="003F1C39">
      <w:pPr>
        <w:tabs>
          <w:tab w:val="left" w:pos="3150"/>
        </w:tabs>
        <w:spacing w:after="0" w:line="240" w:lineRule="auto"/>
        <w:jc w:val="both"/>
        <w:rPr>
          <w:rFonts w:ascii="Times New Roman" w:hAnsi="Times New Roman" w:cs="Times New Roman"/>
          <w:b/>
          <w:sz w:val="24"/>
          <w:szCs w:val="24"/>
        </w:rPr>
      </w:pPr>
    </w:p>
    <w:p w14:paraId="53E99843" w14:textId="77777777" w:rsidR="00DE61BE" w:rsidRPr="009E3A67" w:rsidRDefault="00DE61BE" w:rsidP="003F1C39">
      <w:pPr>
        <w:tabs>
          <w:tab w:val="left" w:pos="3150"/>
        </w:tabs>
        <w:spacing w:after="0" w:line="240" w:lineRule="auto"/>
        <w:jc w:val="both"/>
        <w:rPr>
          <w:rFonts w:ascii="Times New Roman" w:hAnsi="Times New Roman" w:cs="Times New Roman"/>
          <w:b/>
          <w:sz w:val="24"/>
          <w:szCs w:val="24"/>
        </w:rPr>
      </w:pPr>
    </w:p>
    <w:p w14:paraId="4383162F" w14:textId="77777777" w:rsidR="00DE61BE" w:rsidRPr="009E3A67" w:rsidRDefault="00DE61BE" w:rsidP="003F1C39">
      <w:pPr>
        <w:tabs>
          <w:tab w:val="left" w:pos="3150"/>
        </w:tabs>
        <w:spacing w:after="0" w:line="240" w:lineRule="auto"/>
        <w:jc w:val="both"/>
        <w:rPr>
          <w:rFonts w:ascii="Times New Roman" w:hAnsi="Times New Roman" w:cs="Times New Roman"/>
          <w:b/>
          <w:sz w:val="24"/>
          <w:szCs w:val="24"/>
        </w:rPr>
      </w:pPr>
    </w:p>
    <w:p w14:paraId="16F6ECBB" w14:textId="77777777" w:rsidR="00DE61BE" w:rsidRPr="009E3A67" w:rsidRDefault="00DE61BE" w:rsidP="003F1C39">
      <w:pPr>
        <w:tabs>
          <w:tab w:val="left" w:pos="3150"/>
        </w:tabs>
        <w:spacing w:after="0" w:line="240" w:lineRule="auto"/>
        <w:jc w:val="both"/>
        <w:rPr>
          <w:rFonts w:ascii="Times New Roman" w:hAnsi="Times New Roman" w:cs="Times New Roman"/>
          <w:b/>
          <w:sz w:val="24"/>
          <w:szCs w:val="24"/>
        </w:rPr>
      </w:pPr>
    </w:p>
    <w:p w14:paraId="19E48BBE" w14:textId="77777777" w:rsidR="00DE61BE" w:rsidRPr="009E3A67" w:rsidRDefault="00DE61BE" w:rsidP="003F1C39">
      <w:pPr>
        <w:tabs>
          <w:tab w:val="left" w:pos="3150"/>
        </w:tabs>
        <w:spacing w:after="0" w:line="240" w:lineRule="auto"/>
        <w:jc w:val="both"/>
        <w:rPr>
          <w:rFonts w:ascii="Times New Roman" w:hAnsi="Times New Roman" w:cs="Times New Roman"/>
          <w:b/>
          <w:sz w:val="24"/>
          <w:szCs w:val="24"/>
        </w:rPr>
      </w:pPr>
    </w:p>
    <w:p w14:paraId="6FD1A846" w14:textId="77777777" w:rsidR="00DE61BE" w:rsidRPr="009E3A67" w:rsidRDefault="00DE61BE" w:rsidP="003F1C39">
      <w:pPr>
        <w:tabs>
          <w:tab w:val="left" w:pos="3150"/>
        </w:tabs>
        <w:spacing w:after="0" w:line="240" w:lineRule="auto"/>
        <w:jc w:val="both"/>
        <w:rPr>
          <w:rFonts w:ascii="Times New Roman" w:hAnsi="Times New Roman" w:cs="Times New Roman"/>
          <w:b/>
          <w:sz w:val="24"/>
          <w:szCs w:val="24"/>
        </w:rPr>
      </w:pPr>
    </w:p>
    <w:p w14:paraId="593184BB"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2DAF9E2E"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45F45EF3"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4424D4A4"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61A2BAF1"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533B0C46"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51045519"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5BBDEB26"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1FF2FC41" w14:textId="77777777" w:rsidR="00DE61BE" w:rsidRPr="009E3A67" w:rsidRDefault="00DE61BE" w:rsidP="00DA15ED">
      <w:pPr>
        <w:tabs>
          <w:tab w:val="left" w:pos="3150"/>
        </w:tabs>
        <w:spacing w:line="240" w:lineRule="auto"/>
        <w:jc w:val="center"/>
        <w:rPr>
          <w:rFonts w:ascii="Times New Roman" w:hAnsi="Times New Roman" w:cs="Times New Roman"/>
          <w:b/>
          <w:sz w:val="24"/>
          <w:szCs w:val="24"/>
        </w:rPr>
      </w:pPr>
    </w:p>
    <w:p w14:paraId="7737CB06"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3F445A6C"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32CD60E9" w14:textId="77777777" w:rsidR="00355D09" w:rsidRPr="009E3A67" w:rsidRDefault="00355D09" w:rsidP="00DA15ED">
      <w:pPr>
        <w:tabs>
          <w:tab w:val="left" w:pos="3150"/>
        </w:tabs>
        <w:spacing w:line="240" w:lineRule="auto"/>
        <w:jc w:val="center"/>
        <w:rPr>
          <w:rFonts w:ascii="Times New Roman" w:hAnsi="Times New Roman" w:cs="Times New Roman"/>
          <w:b/>
          <w:sz w:val="24"/>
          <w:szCs w:val="24"/>
        </w:rPr>
      </w:pPr>
    </w:p>
    <w:p w14:paraId="3208E4E1" w14:textId="77777777" w:rsidR="00355D09" w:rsidRPr="009E3A67" w:rsidRDefault="00355D09" w:rsidP="00DA15ED">
      <w:pPr>
        <w:tabs>
          <w:tab w:val="left" w:pos="3150"/>
        </w:tabs>
        <w:spacing w:line="240" w:lineRule="auto"/>
        <w:jc w:val="center"/>
        <w:rPr>
          <w:rFonts w:ascii="Times New Roman" w:hAnsi="Times New Roman" w:cs="Times New Roman"/>
          <w:b/>
          <w:sz w:val="24"/>
          <w:szCs w:val="24"/>
        </w:rPr>
      </w:pPr>
    </w:p>
    <w:p w14:paraId="59EE2FEB" w14:textId="77777777" w:rsidR="00355D09" w:rsidRPr="009E3A67" w:rsidRDefault="00355D09" w:rsidP="00DA15ED">
      <w:pPr>
        <w:tabs>
          <w:tab w:val="left" w:pos="3150"/>
        </w:tabs>
        <w:spacing w:line="240" w:lineRule="auto"/>
        <w:jc w:val="center"/>
        <w:rPr>
          <w:rFonts w:ascii="Times New Roman" w:hAnsi="Times New Roman" w:cs="Times New Roman"/>
          <w:b/>
          <w:sz w:val="24"/>
          <w:szCs w:val="24"/>
        </w:rPr>
      </w:pPr>
    </w:p>
    <w:p w14:paraId="26FD184E" w14:textId="77777777" w:rsidR="00355D09" w:rsidRPr="009E3A67" w:rsidRDefault="00355D09" w:rsidP="00DA15ED">
      <w:pPr>
        <w:tabs>
          <w:tab w:val="left" w:pos="3150"/>
        </w:tabs>
        <w:spacing w:line="240" w:lineRule="auto"/>
        <w:jc w:val="center"/>
        <w:rPr>
          <w:rFonts w:ascii="Times New Roman" w:hAnsi="Times New Roman" w:cs="Times New Roman"/>
          <w:b/>
          <w:sz w:val="24"/>
          <w:szCs w:val="24"/>
        </w:rPr>
      </w:pPr>
    </w:p>
    <w:p w14:paraId="72B0BAA5" w14:textId="77777777" w:rsidR="00355D09" w:rsidRPr="009E3A67" w:rsidRDefault="00355D09" w:rsidP="00DA15ED">
      <w:pPr>
        <w:tabs>
          <w:tab w:val="left" w:pos="3150"/>
        </w:tabs>
        <w:spacing w:line="240" w:lineRule="auto"/>
        <w:jc w:val="center"/>
        <w:rPr>
          <w:rFonts w:ascii="Times New Roman" w:hAnsi="Times New Roman" w:cs="Times New Roman"/>
          <w:b/>
          <w:sz w:val="24"/>
          <w:szCs w:val="24"/>
        </w:rPr>
      </w:pPr>
    </w:p>
    <w:p w14:paraId="59E4E250" w14:textId="77777777" w:rsidR="00355D09" w:rsidRPr="009E3A67" w:rsidRDefault="00355D09" w:rsidP="00DA15ED">
      <w:pPr>
        <w:tabs>
          <w:tab w:val="left" w:pos="3150"/>
        </w:tabs>
        <w:spacing w:line="240" w:lineRule="auto"/>
        <w:jc w:val="center"/>
        <w:rPr>
          <w:rFonts w:ascii="Times New Roman" w:hAnsi="Times New Roman" w:cs="Times New Roman"/>
          <w:b/>
          <w:sz w:val="24"/>
          <w:szCs w:val="24"/>
        </w:rPr>
      </w:pPr>
    </w:p>
    <w:p w14:paraId="0BA749BE"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363E91A0" w14:textId="77777777" w:rsidR="003F1C39" w:rsidRDefault="003F1C39" w:rsidP="00DA15ED">
      <w:pPr>
        <w:tabs>
          <w:tab w:val="left" w:pos="3150"/>
        </w:tabs>
        <w:spacing w:line="240" w:lineRule="auto"/>
        <w:jc w:val="center"/>
        <w:rPr>
          <w:rFonts w:ascii="Times New Roman" w:hAnsi="Times New Roman" w:cs="Times New Roman"/>
          <w:b/>
          <w:sz w:val="24"/>
          <w:szCs w:val="24"/>
        </w:rPr>
      </w:pPr>
    </w:p>
    <w:p w14:paraId="5215AF51" w14:textId="77777777" w:rsidR="008A7B7A" w:rsidRPr="009E3A67" w:rsidRDefault="008A7B7A" w:rsidP="00DA15ED">
      <w:pPr>
        <w:tabs>
          <w:tab w:val="left" w:pos="3150"/>
        </w:tabs>
        <w:spacing w:line="240" w:lineRule="auto"/>
        <w:jc w:val="center"/>
        <w:rPr>
          <w:rFonts w:ascii="Times New Roman" w:hAnsi="Times New Roman" w:cs="Times New Roman"/>
          <w:b/>
          <w:sz w:val="24"/>
          <w:szCs w:val="24"/>
        </w:rPr>
      </w:pPr>
    </w:p>
    <w:p w14:paraId="66AF6E4A"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36E3F394" w14:textId="77777777" w:rsidR="003F1C39" w:rsidRPr="009E3A67" w:rsidRDefault="003F1C39" w:rsidP="00DA15ED">
      <w:pPr>
        <w:tabs>
          <w:tab w:val="left" w:pos="3150"/>
        </w:tabs>
        <w:spacing w:line="240" w:lineRule="auto"/>
        <w:jc w:val="center"/>
        <w:rPr>
          <w:rFonts w:ascii="Times New Roman" w:hAnsi="Times New Roman" w:cs="Times New Roman"/>
          <w:b/>
          <w:sz w:val="24"/>
          <w:szCs w:val="24"/>
        </w:rPr>
      </w:pPr>
    </w:p>
    <w:p w14:paraId="47C40F39" w14:textId="7326E9CB" w:rsidR="00631AEE" w:rsidRPr="009E3A67" w:rsidRDefault="00631AEE" w:rsidP="00DA15ED">
      <w:pPr>
        <w:tabs>
          <w:tab w:val="left" w:pos="3150"/>
        </w:tabs>
        <w:spacing w:line="240" w:lineRule="auto"/>
        <w:jc w:val="center"/>
        <w:rPr>
          <w:rFonts w:ascii="Times New Roman" w:hAnsi="Times New Roman" w:cs="Times New Roman"/>
          <w:b/>
        </w:rPr>
      </w:pPr>
      <w:r w:rsidRPr="009E3A67">
        <w:rPr>
          <w:rFonts w:ascii="Times New Roman" w:hAnsi="Times New Roman" w:cs="Times New Roman"/>
          <w:b/>
          <w:sz w:val="24"/>
          <w:szCs w:val="24"/>
        </w:rPr>
        <w:t>TRANSFORMANDO ESPAÇOS: UMA DENÚNCIA SOBRE O SILENCIAMENTO HISTÓRICO-EPISTÊMICO DA IDENTIDADE DE SUJEITOS RACIAL E ECONOMICAMENTE MARCADOS E SEUS REFLEXOS NO ATUAL SISTEMA DE ENSINO BRASILEIRO</w:t>
      </w:r>
    </w:p>
    <w:p w14:paraId="4788CDBB" w14:textId="77777777" w:rsidR="00631AEE" w:rsidRPr="009E3A67" w:rsidRDefault="00631AEE" w:rsidP="00631AEE">
      <w:pPr>
        <w:tabs>
          <w:tab w:val="left" w:pos="3150"/>
        </w:tabs>
        <w:jc w:val="center"/>
        <w:rPr>
          <w:rFonts w:ascii="Times New Roman" w:hAnsi="Times New Roman" w:cs="Times New Roman"/>
        </w:rPr>
      </w:pPr>
    </w:p>
    <w:p w14:paraId="66495879" w14:textId="77777777" w:rsidR="00631AEE" w:rsidRPr="009E3A67" w:rsidRDefault="00631AEE" w:rsidP="00DA15ED">
      <w:pPr>
        <w:tabs>
          <w:tab w:val="left" w:pos="3150"/>
        </w:tabs>
        <w:spacing w:line="240" w:lineRule="auto"/>
        <w:jc w:val="center"/>
        <w:rPr>
          <w:rFonts w:ascii="Times New Roman" w:hAnsi="Times New Roman" w:cs="Times New Roman"/>
          <w:b/>
          <w:sz w:val="24"/>
          <w:szCs w:val="24"/>
        </w:rPr>
      </w:pPr>
      <w:r w:rsidRPr="009E3A67">
        <w:rPr>
          <w:rFonts w:ascii="Times New Roman" w:hAnsi="Times New Roman" w:cs="Times New Roman"/>
        </w:rPr>
        <w:t xml:space="preserve"> </w:t>
      </w:r>
      <w:r w:rsidRPr="009E3A67">
        <w:rPr>
          <w:rFonts w:ascii="Times New Roman" w:hAnsi="Times New Roman" w:cs="Times New Roman"/>
          <w:b/>
          <w:sz w:val="24"/>
          <w:szCs w:val="24"/>
        </w:rPr>
        <w:t xml:space="preserve">TRANSFORMING SPACES: A COMPLAINT ON THE HISTORICAL-EPISTEMIC SILENCE OF THE PEOPLE RACIAL AND ECONOMICALLY MARKED AND ITS REFLEXES ON THE CURRENT BRAZILIAN EDUCATION SYSTEM </w:t>
      </w:r>
    </w:p>
    <w:p w14:paraId="26D3F61F" w14:textId="77777777" w:rsidR="00631AEE" w:rsidRPr="009E3A67" w:rsidRDefault="00631AEE" w:rsidP="00631AEE">
      <w:pPr>
        <w:tabs>
          <w:tab w:val="left" w:pos="3150"/>
        </w:tabs>
        <w:jc w:val="center"/>
        <w:rPr>
          <w:rFonts w:ascii="Times New Roman" w:hAnsi="Times New Roman" w:cs="Times New Roman"/>
        </w:rPr>
      </w:pPr>
    </w:p>
    <w:p w14:paraId="2C95C6C6" w14:textId="77777777" w:rsidR="00631AEE" w:rsidRPr="009E3A67" w:rsidRDefault="00631AEE" w:rsidP="00631AEE">
      <w:pPr>
        <w:tabs>
          <w:tab w:val="left" w:pos="3150"/>
        </w:tabs>
        <w:jc w:val="right"/>
        <w:rPr>
          <w:rFonts w:ascii="Times New Roman" w:hAnsi="Times New Roman" w:cs="Times New Roman"/>
          <w:sz w:val="24"/>
          <w:szCs w:val="24"/>
        </w:rPr>
      </w:pPr>
      <w:r w:rsidRPr="009E3A67">
        <w:rPr>
          <w:rFonts w:ascii="Times New Roman" w:hAnsi="Times New Roman" w:cs="Times New Roman"/>
          <w:sz w:val="24"/>
          <w:szCs w:val="24"/>
        </w:rPr>
        <w:t>Luiza Rodrigues Gomes</w:t>
      </w:r>
    </w:p>
    <w:p w14:paraId="08F766A9" w14:textId="77777777" w:rsidR="00631AEE" w:rsidRPr="009E3A67" w:rsidRDefault="00631AEE" w:rsidP="006D5A67">
      <w:pPr>
        <w:spacing w:line="360" w:lineRule="auto"/>
        <w:ind w:left="2268"/>
        <w:jc w:val="both"/>
        <w:rPr>
          <w:rFonts w:ascii="Times New Roman" w:hAnsi="Times New Roman" w:cs="Times New Roman"/>
          <w:sz w:val="24"/>
          <w:szCs w:val="24"/>
        </w:rPr>
      </w:pPr>
      <w:r w:rsidRPr="009E3A67">
        <w:rPr>
          <w:rFonts w:ascii="Times New Roman" w:hAnsi="Times New Roman" w:cs="Times New Roman"/>
          <w:sz w:val="24"/>
          <w:szCs w:val="24"/>
        </w:rPr>
        <w:t>Graduanda em Psicologia pela Universidade Federal do Rio de Janeiro - UFRJ.</w:t>
      </w:r>
      <w:r w:rsidR="008C28B7" w:rsidRPr="009E3A67">
        <w:rPr>
          <w:rFonts w:ascii="Times New Roman" w:hAnsi="Times New Roman" w:cs="Times New Roman"/>
          <w:sz w:val="24"/>
          <w:szCs w:val="24"/>
        </w:rPr>
        <w:t xml:space="preserve"> I</w:t>
      </w:r>
      <w:r w:rsidR="008C28B7" w:rsidRPr="009E3A67">
        <w:rPr>
          <w:rFonts w:ascii="Times New Roman" w:eastAsia="Times New Roman" w:hAnsi="Times New Roman" w:cs="Times New Roman"/>
          <w:sz w:val="24"/>
          <w:szCs w:val="24"/>
          <w:lang w:eastAsia="pt-BR"/>
        </w:rPr>
        <w:t>ntegra o Laboratório de Neurociência e Aprimoramento Cerebral (LABNACE/IPUB-UFRJ), onde atua na aplicação de testes neuropsicológicos com idosos. Participa de cursos e atividades com foco em neurociência e epistemologias negras, articulando saberes acadêmicos e práticas decoloniais. Sua trajetória reflete o compromisso com a denúncia de apagamentos históricos e com a construção de uma psicologia socialmente comprometida.</w:t>
      </w:r>
      <w:r w:rsidRPr="009E3A67">
        <w:rPr>
          <w:rFonts w:ascii="Times New Roman" w:hAnsi="Times New Roman" w:cs="Times New Roman"/>
          <w:sz w:val="24"/>
          <w:szCs w:val="24"/>
        </w:rPr>
        <w:t xml:space="preserve"> E-mail: luizarodrgomes@gmail.com </w:t>
      </w:r>
    </w:p>
    <w:p w14:paraId="162A14E0" w14:textId="77777777" w:rsidR="00631AEE" w:rsidRPr="009E3A67" w:rsidRDefault="00631AEE" w:rsidP="00631AEE">
      <w:pPr>
        <w:tabs>
          <w:tab w:val="left" w:pos="3150"/>
        </w:tabs>
        <w:jc w:val="right"/>
        <w:rPr>
          <w:rFonts w:ascii="Times New Roman" w:hAnsi="Times New Roman" w:cs="Times New Roman"/>
          <w:sz w:val="24"/>
          <w:szCs w:val="24"/>
        </w:rPr>
      </w:pPr>
    </w:p>
    <w:p w14:paraId="676F80AE" w14:textId="77777777" w:rsidR="00631AEE" w:rsidRPr="009E3A67" w:rsidRDefault="00631AEE" w:rsidP="00631AEE">
      <w:pPr>
        <w:tabs>
          <w:tab w:val="left" w:pos="3150"/>
        </w:tabs>
        <w:jc w:val="center"/>
        <w:rPr>
          <w:rFonts w:ascii="Times New Roman" w:hAnsi="Times New Roman" w:cs="Times New Roman"/>
        </w:rPr>
      </w:pPr>
    </w:p>
    <w:p w14:paraId="3BA892F7" w14:textId="77777777" w:rsidR="00631AEE" w:rsidRPr="009E3A67" w:rsidRDefault="00631AEE" w:rsidP="00631AEE">
      <w:pPr>
        <w:tabs>
          <w:tab w:val="left" w:pos="3150"/>
        </w:tabs>
        <w:jc w:val="center"/>
        <w:rPr>
          <w:rFonts w:ascii="Times New Roman" w:hAnsi="Times New Roman" w:cs="Times New Roman"/>
        </w:rPr>
      </w:pPr>
    </w:p>
    <w:p w14:paraId="4D1ADBF5" w14:textId="77777777" w:rsidR="00631AEE" w:rsidRPr="009E3A67" w:rsidRDefault="00631AEE" w:rsidP="00631AEE">
      <w:pPr>
        <w:tabs>
          <w:tab w:val="left" w:pos="3150"/>
        </w:tabs>
        <w:jc w:val="center"/>
        <w:rPr>
          <w:rFonts w:ascii="Times New Roman" w:hAnsi="Times New Roman" w:cs="Times New Roman"/>
        </w:rPr>
      </w:pPr>
    </w:p>
    <w:p w14:paraId="1A7511C2" w14:textId="77777777" w:rsidR="00631AEE" w:rsidRPr="009E3A67" w:rsidRDefault="00631AEE" w:rsidP="00631AEE">
      <w:pPr>
        <w:tabs>
          <w:tab w:val="left" w:pos="3150"/>
        </w:tabs>
        <w:jc w:val="center"/>
        <w:rPr>
          <w:rFonts w:ascii="Times New Roman" w:hAnsi="Times New Roman" w:cs="Times New Roman"/>
        </w:rPr>
      </w:pPr>
    </w:p>
    <w:p w14:paraId="18370B75" w14:textId="77777777" w:rsidR="00631AEE" w:rsidRPr="009E3A67" w:rsidRDefault="00631AEE" w:rsidP="00631AEE">
      <w:pPr>
        <w:tabs>
          <w:tab w:val="left" w:pos="3150"/>
        </w:tabs>
        <w:jc w:val="center"/>
        <w:rPr>
          <w:rFonts w:ascii="Times New Roman" w:hAnsi="Times New Roman" w:cs="Times New Roman"/>
        </w:rPr>
      </w:pPr>
    </w:p>
    <w:p w14:paraId="12BF4207" w14:textId="77777777" w:rsidR="00631AEE" w:rsidRPr="009E3A67" w:rsidRDefault="00631AEE" w:rsidP="00631AEE">
      <w:pPr>
        <w:tabs>
          <w:tab w:val="left" w:pos="3150"/>
        </w:tabs>
        <w:jc w:val="center"/>
        <w:rPr>
          <w:rFonts w:ascii="Times New Roman" w:hAnsi="Times New Roman" w:cs="Times New Roman"/>
        </w:rPr>
      </w:pPr>
    </w:p>
    <w:p w14:paraId="4E54B4B3" w14:textId="77777777" w:rsidR="00631AEE" w:rsidRPr="009E3A67" w:rsidRDefault="00631AEE" w:rsidP="00631AEE">
      <w:pPr>
        <w:tabs>
          <w:tab w:val="left" w:pos="3150"/>
        </w:tabs>
        <w:jc w:val="center"/>
        <w:rPr>
          <w:rFonts w:ascii="Times New Roman" w:hAnsi="Times New Roman" w:cs="Times New Roman"/>
        </w:rPr>
      </w:pPr>
    </w:p>
    <w:p w14:paraId="22A50CAC" w14:textId="77777777" w:rsidR="00631AEE" w:rsidRPr="009E3A67" w:rsidRDefault="00631AEE" w:rsidP="00631AEE">
      <w:pPr>
        <w:tabs>
          <w:tab w:val="left" w:pos="3150"/>
        </w:tabs>
        <w:jc w:val="center"/>
        <w:rPr>
          <w:rFonts w:ascii="Times New Roman" w:hAnsi="Times New Roman" w:cs="Times New Roman"/>
        </w:rPr>
      </w:pPr>
    </w:p>
    <w:p w14:paraId="30E3ED90" w14:textId="77777777" w:rsidR="00631AEE" w:rsidRPr="009E3A67" w:rsidRDefault="00631AEE" w:rsidP="00631AEE">
      <w:pPr>
        <w:tabs>
          <w:tab w:val="left" w:pos="3150"/>
        </w:tabs>
        <w:jc w:val="center"/>
        <w:rPr>
          <w:rFonts w:ascii="Times New Roman" w:hAnsi="Times New Roman" w:cs="Times New Roman"/>
        </w:rPr>
      </w:pPr>
    </w:p>
    <w:p w14:paraId="17212E26" w14:textId="77777777" w:rsidR="0000246F" w:rsidRPr="009E3A67" w:rsidRDefault="0000246F" w:rsidP="00631AEE">
      <w:pPr>
        <w:tabs>
          <w:tab w:val="left" w:pos="3150"/>
        </w:tabs>
        <w:jc w:val="center"/>
        <w:rPr>
          <w:rFonts w:ascii="Times New Roman" w:hAnsi="Times New Roman" w:cs="Times New Roman"/>
        </w:rPr>
      </w:pPr>
    </w:p>
    <w:p w14:paraId="331D874D" w14:textId="77777777" w:rsidR="00631AEE" w:rsidRPr="009E3A67" w:rsidRDefault="00631AEE" w:rsidP="00631AEE">
      <w:pPr>
        <w:tabs>
          <w:tab w:val="left" w:pos="3150"/>
        </w:tabs>
        <w:jc w:val="center"/>
        <w:rPr>
          <w:rFonts w:ascii="Times New Roman" w:hAnsi="Times New Roman" w:cs="Times New Roman"/>
        </w:rPr>
      </w:pPr>
    </w:p>
    <w:p w14:paraId="6A720546" w14:textId="77777777" w:rsidR="006A1368" w:rsidRPr="009E3A67" w:rsidRDefault="00631AEE" w:rsidP="00631AEE">
      <w:pPr>
        <w:tabs>
          <w:tab w:val="left" w:pos="3150"/>
        </w:tabs>
        <w:jc w:val="center"/>
        <w:rPr>
          <w:rFonts w:ascii="Times New Roman" w:hAnsi="Times New Roman" w:cs="Times New Roman"/>
          <w:b/>
          <w:sz w:val="24"/>
          <w:szCs w:val="24"/>
        </w:rPr>
      </w:pPr>
      <w:r w:rsidRPr="009E3A67">
        <w:rPr>
          <w:rFonts w:ascii="Times New Roman" w:hAnsi="Times New Roman" w:cs="Times New Roman"/>
          <w:b/>
          <w:sz w:val="24"/>
          <w:szCs w:val="24"/>
        </w:rPr>
        <w:t xml:space="preserve">RESUMO </w:t>
      </w:r>
    </w:p>
    <w:p w14:paraId="33413DED" w14:textId="77777777" w:rsidR="006A1368" w:rsidRPr="009E3A67" w:rsidRDefault="00631AEE" w:rsidP="00785244">
      <w:pPr>
        <w:tabs>
          <w:tab w:val="left" w:pos="3150"/>
        </w:tabs>
        <w:spacing w:line="276"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O atual modelo de ensino do Brasil, especialmente ao que cabe ao apagamento das plurais contribuições na formação da identidade nacional, revela seu legado histórico de extermínio de sujeitos racial e economicamente marcados. À vista disso, o artigo propõe, através da análise histórico-bibliográfica, que haja uma dicotomia na unidade nacional, a fim de mensurar as muitas minorias que compõem o país, de forma a distinguir o que é próprio do pensamento dos povos originários e o que faz parte do ideário do homem branco. Para isso, é preciso debater acerca dos mecanismos pedagógicos velados de controle que regem os processos de ascensão de regimes de extermínio, a fim de resgatar e visibilizar histórias e saberes oprimidos. Além de colocar a educação como principal meio de transformação de espaços, sendo assim capaz de produzir - e reproduzir - desigualdades, bem como de revertê-las. </w:t>
      </w:r>
    </w:p>
    <w:p w14:paraId="68F16B5C" w14:textId="77777777" w:rsidR="006A1368" w:rsidRPr="009E3A67" w:rsidRDefault="006A1368" w:rsidP="00631AEE">
      <w:pPr>
        <w:tabs>
          <w:tab w:val="left" w:pos="3150"/>
        </w:tabs>
        <w:jc w:val="center"/>
        <w:rPr>
          <w:rFonts w:ascii="Times New Roman" w:hAnsi="Times New Roman" w:cs="Times New Roman"/>
        </w:rPr>
      </w:pPr>
    </w:p>
    <w:p w14:paraId="10B0A674" w14:textId="77777777" w:rsidR="006A1368" w:rsidRPr="009E3A67" w:rsidRDefault="00631AEE" w:rsidP="006A1368">
      <w:pPr>
        <w:tabs>
          <w:tab w:val="left" w:pos="3150"/>
        </w:tabs>
        <w:rPr>
          <w:rFonts w:ascii="Times New Roman" w:hAnsi="Times New Roman" w:cs="Times New Roman"/>
          <w:b/>
          <w:sz w:val="24"/>
          <w:szCs w:val="24"/>
        </w:rPr>
      </w:pPr>
      <w:r w:rsidRPr="009E3A67">
        <w:rPr>
          <w:rFonts w:ascii="Times New Roman" w:hAnsi="Times New Roman" w:cs="Times New Roman"/>
          <w:b/>
          <w:sz w:val="24"/>
          <w:szCs w:val="24"/>
        </w:rPr>
        <w:t>PALAVRAS-CHAVE</w:t>
      </w:r>
    </w:p>
    <w:p w14:paraId="63EE778C" w14:textId="77777777" w:rsidR="006A1368" w:rsidRPr="009E3A67" w:rsidRDefault="00631AEE" w:rsidP="006A1368">
      <w:pPr>
        <w:tabs>
          <w:tab w:val="left" w:pos="3150"/>
        </w:tabs>
        <w:rPr>
          <w:rFonts w:ascii="Times New Roman" w:hAnsi="Times New Roman" w:cs="Times New Roman"/>
        </w:rPr>
      </w:pPr>
      <w:r w:rsidRPr="009E3A67">
        <w:rPr>
          <w:rFonts w:ascii="Times New Roman" w:hAnsi="Times New Roman" w:cs="Times New Roman"/>
        </w:rPr>
        <w:t>Pluralismo</w:t>
      </w:r>
      <w:r w:rsidR="00CF6E98" w:rsidRPr="009E3A67">
        <w:rPr>
          <w:rFonts w:ascii="Times New Roman" w:hAnsi="Times New Roman" w:cs="Times New Roman"/>
        </w:rPr>
        <w:t xml:space="preserve">; </w:t>
      </w:r>
      <w:r w:rsidRPr="009E3A67">
        <w:rPr>
          <w:rFonts w:ascii="Times New Roman" w:hAnsi="Times New Roman" w:cs="Times New Roman"/>
        </w:rPr>
        <w:t>Educação brasileira</w:t>
      </w:r>
      <w:r w:rsidR="00CF6E98" w:rsidRPr="009E3A67">
        <w:rPr>
          <w:rFonts w:ascii="Times New Roman" w:hAnsi="Times New Roman" w:cs="Times New Roman"/>
        </w:rPr>
        <w:t>;</w:t>
      </w:r>
      <w:r w:rsidRPr="009E3A67">
        <w:rPr>
          <w:rFonts w:ascii="Times New Roman" w:hAnsi="Times New Roman" w:cs="Times New Roman"/>
        </w:rPr>
        <w:t xml:space="preserve"> Racismo</w:t>
      </w:r>
      <w:r w:rsidR="00CF6E98" w:rsidRPr="009E3A67">
        <w:rPr>
          <w:rFonts w:ascii="Times New Roman" w:hAnsi="Times New Roman" w:cs="Times New Roman"/>
        </w:rPr>
        <w:t>;</w:t>
      </w:r>
      <w:r w:rsidRPr="009E3A67">
        <w:rPr>
          <w:rFonts w:ascii="Times New Roman" w:hAnsi="Times New Roman" w:cs="Times New Roman"/>
        </w:rPr>
        <w:t xml:space="preserve"> Desigualdade</w:t>
      </w:r>
      <w:r w:rsidR="00CF6E98" w:rsidRPr="009E3A67">
        <w:rPr>
          <w:rFonts w:ascii="Times New Roman" w:hAnsi="Times New Roman" w:cs="Times New Roman"/>
        </w:rPr>
        <w:t>;</w:t>
      </w:r>
      <w:r w:rsidRPr="009E3A67">
        <w:rPr>
          <w:rFonts w:ascii="Times New Roman" w:hAnsi="Times New Roman" w:cs="Times New Roman"/>
        </w:rPr>
        <w:t xml:space="preserve"> Política de extermínio</w:t>
      </w:r>
      <w:r w:rsidR="00CB7716" w:rsidRPr="009E3A67">
        <w:rPr>
          <w:rFonts w:ascii="Times New Roman" w:hAnsi="Times New Roman" w:cs="Times New Roman"/>
        </w:rPr>
        <w:t>.</w:t>
      </w:r>
    </w:p>
    <w:p w14:paraId="4E6D13AB" w14:textId="77777777" w:rsidR="006A1368" w:rsidRPr="009E3A67" w:rsidRDefault="006A1368" w:rsidP="00631AEE">
      <w:pPr>
        <w:tabs>
          <w:tab w:val="left" w:pos="3150"/>
        </w:tabs>
        <w:jc w:val="center"/>
        <w:rPr>
          <w:rFonts w:ascii="Times New Roman" w:hAnsi="Times New Roman" w:cs="Times New Roman"/>
        </w:rPr>
      </w:pPr>
    </w:p>
    <w:p w14:paraId="499870D8" w14:textId="77777777" w:rsidR="006A1368" w:rsidRPr="009E3A67" w:rsidRDefault="006A1368" w:rsidP="00631AEE">
      <w:pPr>
        <w:tabs>
          <w:tab w:val="left" w:pos="3150"/>
        </w:tabs>
        <w:jc w:val="center"/>
        <w:rPr>
          <w:rFonts w:ascii="Times New Roman" w:hAnsi="Times New Roman" w:cs="Times New Roman"/>
        </w:rPr>
      </w:pPr>
    </w:p>
    <w:p w14:paraId="782DF39E" w14:textId="77777777" w:rsidR="006A1368" w:rsidRPr="009E3A67" w:rsidRDefault="00631AEE" w:rsidP="00631AEE">
      <w:pPr>
        <w:tabs>
          <w:tab w:val="left" w:pos="3150"/>
        </w:tabs>
        <w:jc w:val="center"/>
        <w:rPr>
          <w:rFonts w:ascii="Times New Roman" w:hAnsi="Times New Roman" w:cs="Times New Roman"/>
          <w:b/>
          <w:sz w:val="24"/>
          <w:szCs w:val="24"/>
        </w:rPr>
      </w:pPr>
      <w:r w:rsidRPr="009E3A67">
        <w:rPr>
          <w:rFonts w:ascii="Times New Roman" w:hAnsi="Times New Roman" w:cs="Times New Roman"/>
          <w:b/>
          <w:sz w:val="24"/>
          <w:szCs w:val="24"/>
        </w:rPr>
        <w:t>ABSTRACT</w:t>
      </w:r>
    </w:p>
    <w:p w14:paraId="15E7FCD9" w14:textId="77777777" w:rsidR="006A1368" w:rsidRPr="009E3A67" w:rsidRDefault="00631AEE" w:rsidP="00785244">
      <w:pPr>
        <w:tabs>
          <w:tab w:val="left" w:pos="3150"/>
        </w:tabs>
        <w:spacing w:line="276" w:lineRule="auto"/>
        <w:jc w:val="both"/>
        <w:rPr>
          <w:rFonts w:ascii="Times New Roman" w:hAnsi="Times New Roman" w:cs="Times New Roman"/>
        </w:rPr>
      </w:pPr>
      <w:r w:rsidRPr="009E3A67">
        <w:rPr>
          <w:rFonts w:ascii="Times New Roman" w:hAnsi="Times New Roman" w:cs="Times New Roman"/>
          <w:sz w:val="24"/>
          <w:szCs w:val="24"/>
        </w:rPr>
        <w:t xml:space="preserve"> Brazil's current education model, especially in terms of erasing the many contributions to the formation of national identity, reveals its historical legacy of extermination of racially and economically marked individuals. In view of this, the article proposes, through historical and bibliographical analysis, that there be a dichotomy in national unity, in order to measure the many minorities that make up the country, in order to distinguish what is specific to the thinking of the native peoples and what is part of the white man's ideology. To this end, it is necessary to debate the hidden pedagogical mechanisms of control that govern the processes of rise of extermination regimes, in order to rescue and make visible oppressed histories and knowledge, in addition to placing education as the main means of transforming spaces, thus being capable of producing - and reproducing - inequalities, as well as reversing them.</w:t>
      </w:r>
      <w:r w:rsidRPr="009E3A67">
        <w:rPr>
          <w:rFonts w:ascii="Times New Roman" w:hAnsi="Times New Roman" w:cs="Times New Roman"/>
        </w:rPr>
        <w:t xml:space="preserve"> </w:t>
      </w:r>
    </w:p>
    <w:p w14:paraId="7FDBBB76" w14:textId="77777777" w:rsidR="006A1368" w:rsidRPr="009E3A67" w:rsidRDefault="006A1368" w:rsidP="00785244">
      <w:pPr>
        <w:tabs>
          <w:tab w:val="left" w:pos="3150"/>
        </w:tabs>
        <w:spacing w:line="276" w:lineRule="auto"/>
        <w:jc w:val="center"/>
        <w:rPr>
          <w:rFonts w:ascii="Times New Roman" w:hAnsi="Times New Roman" w:cs="Times New Roman"/>
        </w:rPr>
      </w:pPr>
    </w:p>
    <w:p w14:paraId="2BB3ABA2" w14:textId="77777777" w:rsidR="006A1368" w:rsidRPr="009E3A67" w:rsidRDefault="00631AEE" w:rsidP="006A1368">
      <w:pPr>
        <w:tabs>
          <w:tab w:val="left" w:pos="3150"/>
        </w:tabs>
        <w:rPr>
          <w:rFonts w:ascii="Times New Roman" w:hAnsi="Times New Roman" w:cs="Times New Roman"/>
          <w:b/>
          <w:sz w:val="24"/>
          <w:szCs w:val="24"/>
        </w:rPr>
      </w:pPr>
      <w:r w:rsidRPr="009E3A67">
        <w:rPr>
          <w:rFonts w:ascii="Times New Roman" w:hAnsi="Times New Roman" w:cs="Times New Roman"/>
          <w:b/>
          <w:sz w:val="24"/>
          <w:szCs w:val="24"/>
        </w:rPr>
        <w:t>KEYWORDS</w:t>
      </w:r>
    </w:p>
    <w:p w14:paraId="26CC32CE" w14:textId="77777777" w:rsidR="006A1368" w:rsidRPr="009E3A67" w:rsidRDefault="00631AEE" w:rsidP="006A1368">
      <w:pPr>
        <w:tabs>
          <w:tab w:val="left" w:pos="3150"/>
        </w:tabs>
        <w:rPr>
          <w:rFonts w:ascii="Times New Roman" w:hAnsi="Times New Roman" w:cs="Times New Roman"/>
          <w:sz w:val="24"/>
          <w:szCs w:val="24"/>
        </w:rPr>
      </w:pPr>
      <w:r w:rsidRPr="009E3A67">
        <w:rPr>
          <w:rFonts w:ascii="Times New Roman" w:hAnsi="Times New Roman" w:cs="Times New Roman"/>
          <w:sz w:val="24"/>
          <w:szCs w:val="24"/>
        </w:rPr>
        <w:t>Pluralism</w:t>
      </w:r>
      <w:r w:rsidR="00CB7716" w:rsidRPr="009E3A67">
        <w:rPr>
          <w:rFonts w:ascii="Times New Roman" w:hAnsi="Times New Roman" w:cs="Times New Roman"/>
          <w:sz w:val="24"/>
          <w:szCs w:val="24"/>
        </w:rPr>
        <w:t>;</w:t>
      </w:r>
      <w:r w:rsidRPr="009E3A67">
        <w:rPr>
          <w:rFonts w:ascii="Times New Roman" w:hAnsi="Times New Roman" w:cs="Times New Roman"/>
          <w:sz w:val="24"/>
          <w:szCs w:val="24"/>
        </w:rPr>
        <w:t xml:space="preserve"> Brazilian education</w:t>
      </w:r>
      <w:r w:rsidR="00CB7716" w:rsidRPr="009E3A67">
        <w:rPr>
          <w:rFonts w:ascii="Times New Roman" w:hAnsi="Times New Roman" w:cs="Times New Roman"/>
          <w:sz w:val="24"/>
          <w:szCs w:val="24"/>
        </w:rPr>
        <w:t>;</w:t>
      </w:r>
      <w:r w:rsidRPr="009E3A67">
        <w:rPr>
          <w:rFonts w:ascii="Times New Roman" w:hAnsi="Times New Roman" w:cs="Times New Roman"/>
          <w:sz w:val="24"/>
          <w:szCs w:val="24"/>
        </w:rPr>
        <w:t xml:space="preserve"> Racism</w:t>
      </w:r>
      <w:r w:rsidR="00CB7716" w:rsidRPr="009E3A67">
        <w:rPr>
          <w:rFonts w:ascii="Times New Roman" w:hAnsi="Times New Roman" w:cs="Times New Roman"/>
          <w:sz w:val="24"/>
          <w:szCs w:val="24"/>
        </w:rPr>
        <w:t xml:space="preserve">; </w:t>
      </w:r>
      <w:r w:rsidRPr="009E3A67">
        <w:rPr>
          <w:rFonts w:ascii="Times New Roman" w:hAnsi="Times New Roman" w:cs="Times New Roman"/>
          <w:sz w:val="24"/>
          <w:szCs w:val="24"/>
        </w:rPr>
        <w:t>Inequality</w:t>
      </w:r>
      <w:r w:rsidR="00CB7716" w:rsidRPr="009E3A67">
        <w:rPr>
          <w:rFonts w:ascii="Times New Roman" w:hAnsi="Times New Roman" w:cs="Times New Roman"/>
          <w:sz w:val="24"/>
          <w:szCs w:val="24"/>
        </w:rPr>
        <w:t>;</w:t>
      </w:r>
      <w:r w:rsidRPr="009E3A67">
        <w:rPr>
          <w:rFonts w:ascii="Times New Roman" w:hAnsi="Times New Roman" w:cs="Times New Roman"/>
          <w:sz w:val="24"/>
          <w:szCs w:val="24"/>
        </w:rPr>
        <w:t xml:space="preserve"> Extermination policy</w:t>
      </w:r>
      <w:r w:rsidR="00CB7716" w:rsidRPr="009E3A67">
        <w:rPr>
          <w:rFonts w:ascii="Times New Roman" w:hAnsi="Times New Roman" w:cs="Times New Roman"/>
          <w:sz w:val="24"/>
          <w:szCs w:val="24"/>
        </w:rPr>
        <w:t>.</w:t>
      </w:r>
    </w:p>
    <w:p w14:paraId="02C5D139" w14:textId="77777777" w:rsidR="006A1368" w:rsidRPr="009E3A67" w:rsidRDefault="006A1368" w:rsidP="00631AEE">
      <w:pPr>
        <w:tabs>
          <w:tab w:val="left" w:pos="3150"/>
        </w:tabs>
        <w:jc w:val="center"/>
        <w:rPr>
          <w:rFonts w:ascii="Times New Roman" w:hAnsi="Times New Roman" w:cs="Times New Roman"/>
        </w:rPr>
      </w:pPr>
    </w:p>
    <w:p w14:paraId="79F816A6" w14:textId="77777777" w:rsidR="006A1368" w:rsidRPr="009E3A67" w:rsidRDefault="006A1368" w:rsidP="00631AEE">
      <w:pPr>
        <w:tabs>
          <w:tab w:val="left" w:pos="3150"/>
        </w:tabs>
        <w:jc w:val="center"/>
        <w:rPr>
          <w:rFonts w:ascii="Times New Roman" w:hAnsi="Times New Roman" w:cs="Times New Roman"/>
        </w:rPr>
      </w:pPr>
    </w:p>
    <w:p w14:paraId="6D43E8CF" w14:textId="77777777" w:rsidR="002F02FC" w:rsidRPr="009E3A67" w:rsidRDefault="002F02FC" w:rsidP="001A610F">
      <w:pPr>
        <w:tabs>
          <w:tab w:val="left" w:pos="3150"/>
        </w:tabs>
        <w:spacing w:after="0" w:line="240" w:lineRule="auto"/>
        <w:jc w:val="center"/>
        <w:rPr>
          <w:rFonts w:ascii="Times New Roman" w:hAnsi="Times New Roman" w:cs="Times New Roman"/>
          <w:b/>
          <w:sz w:val="24"/>
          <w:szCs w:val="24"/>
        </w:rPr>
      </w:pPr>
      <w:r w:rsidRPr="009E3A67">
        <w:rPr>
          <w:rFonts w:ascii="Times New Roman" w:hAnsi="Times New Roman" w:cs="Times New Roman"/>
          <w:b/>
          <w:sz w:val="24"/>
          <w:szCs w:val="24"/>
        </w:rPr>
        <w:t xml:space="preserve">TRANSFORMANDO ESPAÇOS: UMA DENÚNCIA SOBRE O SILENCIAMENTO HISTÓRICO-EPISTÊMICO DA IDENTIDADE AFRO DIASPÓRICA E SEUS REFLEXOS NO ATUAL SISTEMA DE ENSINO BRASILEIRO </w:t>
      </w:r>
    </w:p>
    <w:p w14:paraId="61474C20" w14:textId="77777777" w:rsidR="00CB7716" w:rsidRPr="009E3A67" w:rsidRDefault="00CB7716" w:rsidP="002F02FC">
      <w:pPr>
        <w:tabs>
          <w:tab w:val="left" w:pos="3150"/>
        </w:tabs>
        <w:rPr>
          <w:rFonts w:ascii="Times New Roman" w:hAnsi="Times New Roman" w:cs="Times New Roman"/>
          <w:b/>
          <w:sz w:val="24"/>
          <w:szCs w:val="24"/>
        </w:rPr>
      </w:pPr>
    </w:p>
    <w:p w14:paraId="07405C71" w14:textId="32B18CC5" w:rsidR="002F02FC" w:rsidRPr="009E3A67" w:rsidRDefault="00CF37B1" w:rsidP="002F02FC">
      <w:pPr>
        <w:tabs>
          <w:tab w:val="left" w:pos="3150"/>
        </w:tabs>
        <w:rPr>
          <w:rFonts w:ascii="Times New Roman" w:hAnsi="Times New Roman" w:cs="Times New Roman"/>
          <w:b/>
          <w:sz w:val="24"/>
          <w:szCs w:val="24"/>
        </w:rPr>
      </w:pPr>
      <w:r w:rsidRPr="009E3A67">
        <w:rPr>
          <w:rFonts w:ascii="Times New Roman" w:hAnsi="Times New Roman" w:cs="Times New Roman"/>
          <w:b/>
          <w:sz w:val="24"/>
          <w:szCs w:val="24"/>
        </w:rPr>
        <w:t xml:space="preserve">1. </w:t>
      </w:r>
      <w:r w:rsidR="002F02FC" w:rsidRPr="009E3A67">
        <w:rPr>
          <w:rFonts w:ascii="Times New Roman" w:hAnsi="Times New Roman" w:cs="Times New Roman"/>
          <w:b/>
          <w:sz w:val="24"/>
          <w:szCs w:val="24"/>
        </w:rPr>
        <w:t xml:space="preserve">INTRODUÇÃO </w:t>
      </w:r>
    </w:p>
    <w:p w14:paraId="4B271558" w14:textId="77777777" w:rsidR="002F02FC" w:rsidRPr="009E3A67"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r>
      <w:r w:rsidR="002F02FC" w:rsidRPr="009E3A67">
        <w:rPr>
          <w:rFonts w:ascii="Times New Roman" w:hAnsi="Times New Roman" w:cs="Times New Roman"/>
          <w:sz w:val="24"/>
          <w:szCs w:val="24"/>
        </w:rPr>
        <w:t xml:space="preserve">A República Federativa do Brasil carrega em sua construção a história de todos os povos - originários e migrantes - que se uniram no desenvolvimento de uma identidade nacional. A princípio, apesar de múltipla, a união desses epistemes não foi fundada em meios favoráveis de partilha e sim de extermínio, a partir da qual grupos nativos foram confrontados pelo ideário de sociedades distantes e díspares a sua realidade. Em especial, este artigo procura, a partir da análise histórico-bibliográfica, questionar, criticar e enfatizar o que a sociedade atual carrega em sua bagagem afrodiaspórica e seus atravessamentos pelas cosmovisões do outro. E, a partir dessa perspectiva, evidenciar a necessidade de transformar espaços violados colonialmente e, por meio da educação, auxiliar o Brasil na reconstrução de uma identidade autêntica, própria do pensamento dos povos originários. </w:t>
      </w:r>
    </w:p>
    <w:p w14:paraId="356AB6F2" w14:textId="77777777" w:rsidR="002F02FC" w:rsidRPr="009E3A67" w:rsidRDefault="00E44444" w:rsidP="00CB7716">
      <w:pPr>
        <w:tabs>
          <w:tab w:val="left" w:pos="851"/>
        </w:tabs>
        <w:spacing w:line="360" w:lineRule="auto"/>
        <w:jc w:val="both"/>
        <w:rPr>
          <w:rFonts w:ascii="Times New Roman" w:hAnsi="Times New Roman" w:cs="Times New Roman"/>
          <w:sz w:val="24"/>
          <w:szCs w:val="24"/>
        </w:rPr>
      </w:pPr>
      <w:r w:rsidRPr="009E3A67">
        <w:rPr>
          <w:rFonts w:ascii="Times New Roman" w:hAnsi="Times New Roman" w:cs="Times New Roman"/>
          <w:sz w:val="24"/>
          <w:szCs w:val="24"/>
        </w:rPr>
        <w:tab/>
      </w:r>
      <w:r w:rsidR="002F02FC" w:rsidRPr="009E3A67">
        <w:rPr>
          <w:rFonts w:ascii="Times New Roman" w:hAnsi="Times New Roman" w:cs="Times New Roman"/>
          <w:sz w:val="24"/>
          <w:szCs w:val="24"/>
        </w:rPr>
        <w:t>Nessa lógica, Laura Terena e João Francisco Bairrão (2023) dissertam que</w:t>
      </w:r>
    </w:p>
    <w:p w14:paraId="40F25E9A" w14:textId="07575CDA" w:rsidR="00CF37B1" w:rsidRPr="009E3A67" w:rsidRDefault="002F02FC" w:rsidP="00CB7716">
      <w:pPr>
        <w:tabs>
          <w:tab w:val="left" w:pos="3150"/>
        </w:tabs>
        <w:spacing w:line="240" w:lineRule="auto"/>
        <w:ind w:left="2268"/>
        <w:jc w:val="both"/>
        <w:rPr>
          <w:rFonts w:ascii="Times New Roman" w:hAnsi="Times New Roman" w:cs="Times New Roman"/>
          <w:sz w:val="24"/>
          <w:szCs w:val="24"/>
        </w:rPr>
      </w:pPr>
      <w:r w:rsidRPr="009E3A67">
        <w:rPr>
          <w:rFonts w:ascii="Times New Roman" w:hAnsi="Times New Roman" w:cs="Times New Roman"/>
          <w:sz w:val="20"/>
          <w:szCs w:val="20"/>
        </w:rPr>
        <w:t xml:space="preserve"> No decorrer de um processo de invasão, é comum que nomes sejam alterados como mais um dos artifícios de controle e expropriação do território invadido, tal como “Brasil” foi sobreposto a “Pindorama” (Terra das Palmeiras), denominação praticada pelos povos tupi-guarani em referência ao que se chama hoje de América do Sul (Santos, 2015) … Sendo assim, a alteração nominal pode tanto ocultar denominações indígenas que requeiram uma não exposição aos ouvidos colonizadores – no sistema de nominação Yanomami os nomes são secretos (Ramos, 1977) –, ou mesmo servir para se contrapor a outros nomes de famílias brancas que por batismo ou algo similar lhes tenham sido atribuídos – indígenas Guarani realizam rituais de “desbatismo” ao rejeitarem nomes católicos implantados violentamente pelo batismo cristão, enquanto retomam</w:t>
      </w:r>
      <w:r w:rsidRPr="009E3A67">
        <w:rPr>
          <w:rFonts w:ascii="Times New Roman" w:hAnsi="Times New Roman" w:cs="Times New Roman"/>
          <w:sz w:val="24"/>
          <w:szCs w:val="24"/>
        </w:rPr>
        <w:t xml:space="preserve"> nomeações indígenas que simbolizam suas funções na sociedade e peculiaridades do nominado (</w:t>
      </w:r>
      <w:r w:rsidR="00781834" w:rsidRPr="009E3A67">
        <w:rPr>
          <w:rFonts w:ascii="Times New Roman" w:hAnsi="Times New Roman" w:cs="Times New Roman"/>
          <w:sz w:val="24"/>
          <w:szCs w:val="24"/>
        </w:rPr>
        <w:t>CRUZ</w:t>
      </w:r>
      <w:r w:rsidRPr="009E3A67">
        <w:rPr>
          <w:rFonts w:ascii="Times New Roman" w:hAnsi="Times New Roman" w:cs="Times New Roman"/>
          <w:sz w:val="24"/>
          <w:szCs w:val="24"/>
        </w:rPr>
        <w:t>, 2017). (TERENA; BAIRRÃO, 2023</w:t>
      </w:r>
      <w:r w:rsidR="00781834" w:rsidRPr="009E3A67">
        <w:rPr>
          <w:rFonts w:ascii="Times New Roman" w:hAnsi="Times New Roman" w:cs="Times New Roman"/>
          <w:sz w:val="24"/>
          <w:szCs w:val="24"/>
        </w:rPr>
        <w:t>:</w:t>
      </w:r>
      <w:r w:rsidRPr="009E3A67">
        <w:rPr>
          <w:rFonts w:ascii="Times New Roman" w:hAnsi="Times New Roman" w:cs="Times New Roman"/>
          <w:sz w:val="24"/>
          <w:szCs w:val="24"/>
        </w:rPr>
        <w:t>2)</w:t>
      </w:r>
      <w:r w:rsidR="00CF37B1" w:rsidRPr="009E3A67">
        <w:rPr>
          <w:rFonts w:ascii="Times New Roman" w:hAnsi="Times New Roman" w:cs="Times New Roman"/>
          <w:sz w:val="24"/>
          <w:szCs w:val="24"/>
        </w:rPr>
        <w:t>.</w:t>
      </w:r>
    </w:p>
    <w:p w14:paraId="59F943EB" w14:textId="7ED80986" w:rsidR="002F02FC" w:rsidRPr="009E3A67" w:rsidRDefault="002F02FC" w:rsidP="00CB7716">
      <w:pPr>
        <w:tabs>
          <w:tab w:val="left" w:pos="3150"/>
        </w:tabs>
        <w:spacing w:line="240" w:lineRule="auto"/>
        <w:ind w:left="2268"/>
        <w:jc w:val="both"/>
        <w:rPr>
          <w:rFonts w:ascii="Times New Roman" w:hAnsi="Times New Roman" w:cs="Times New Roman"/>
          <w:sz w:val="24"/>
          <w:szCs w:val="24"/>
        </w:rPr>
      </w:pPr>
      <w:r w:rsidRPr="009E3A67">
        <w:rPr>
          <w:rFonts w:ascii="Times New Roman" w:hAnsi="Times New Roman" w:cs="Times New Roman"/>
          <w:sz w:val="24"/>
          <w:szCs w:val="24"/>
        </w:rPr>
        <w:t xml:space="preserve"> </w:t>
      </w:r>
    </w:p>
    <w:p w14:paraId="4AAF7EB0" w14:textId="77777777" w:rsidR="00E44444" w:rsidRPr="009E3A67" w:rsidRDefault="00E44444" w:rsidP="00E44444">
      <w:pPr>
        <w:tabs>
          <w:tab w:val="left" w:pos="851"/>
        </w:tabs>
        <w:spacing w:line="360" w:lineRule="auto"/>
        <w:jc w:val="both"/>
        <w:rPr>
          <w:rFonts w:ascii="Times New Roman" w:hAnsi="Times New Roman" w:cs="Times New Roman"/>
          <w:sz w:val="24"/>
          <w:szCs w:val="24"/>
        </w:rPr>
      </w:pPr>
      <w:r w:rsidRPr="009E3A67">
        <w:rPr>
          <w:rFonts w:ascii="Times New Roman" w:hAnsi="Times New Roman" w:cs="Times New Roman"/>
          <w:sz w:val="24"/>
          <w:szCs w:val="24"/>
        </w:rPr>
        <w:tab/>
      </w:r>
      <w:r w:rsidR="002F02FC" w:rsidRPr="009E3A67">
        <w:rPr>
          <w:rFonts w:ascii="Times New Roman" w:hAnsi="Times New Roman" w:cs="Times New Roman"/>
          <w:sz w:val="24"/>
          <w:szCs w:val="24"/>
        </w:rPr>
        <w:t>A prática de “rituais de desbatismo</w:t>
      </w:r>
      <w:r w:rsidR="002F02FC" w:rsidRPr="009E3A67">
        <w:rPr>
          <w:rStyle w:val="Refdenotaderodap"/>
          <w:rFonts w:ascii="Times New Roman" w:hAnsi="Times New Roman" w:cs="Times New Roman"/>
          <w:sz w:val="24"/>
          <w:szCs w:val="24"/>
        </w:rPr>
        <w:footnoteReference w:id="120"/>
      </w:r>
      <w:r w:rsidR="002F02FC" w:rsidRPr="009E3A67">
        <w:rPr>
          <w:rFonts w:ascii="Times New Roman" w:hAnsi="Times New Roman" w:cs="Times New Roman"/>
          <w:sz w:val="24"/>
          <w:szCs w:val="24"/>
        </w:rPr>
        <w:t xml:space="preserve">” realizado pelos povos Guarani e abordado pelos autores precisa ser reintroduzida na atualidade, visto que a identidade nacional foi fundada em meios de silenciamento e expropriação da tradição de grupos originários. A princípio, essa dominação se deu durante o Período Colonial (1500 - 1822), mas, posteriormente, foi dissipada pela sociedade, através de normas que induzem a produção e reprodução de práticas veladas discriminatórias. À vista disso, o modelo de ensino atual é uma manifestação visível do modo como uma sociedade, com o apoio estatal, é responsável por manter e regular padrões e normas que exercem seu poder sobre a vida e a morte dos sujeitos. </w:t>
      </w:r>
    </w:p>
    <w:p w14:paraId="499C0A7E" w14:textId="3AA9DD76" w:rsidR="00E44444" w:rsidRPr="005304E3" w:rsidRDefault="002F02FC" w:rsidP="00E44444">
      <w:pPr>
        <w:tabs>
          <w:tab w:val="left" w:pos="3150"/>
        </w:tabs>
        <w:spacing w:line="240" w:lineRule="auto"/>
        <w:ind w:left="2268"/>
        <w:jc w:val="both"/>
        <w:rPr>
          <w:rFonts w:ascii="Times New Roman" w:hAnsi="Times New Roman" w:cs="Times New Roman"/>
          <w:sz w:val="20"/>
          <w:szCs w:val="20"/>
        </w:rPr>
      </w:pPr>
      <w:r w:rsidRPr="005304E3">
        <w:rPr>
          <w:rFonts w:ascii="Times New Roman" w:hAnsi="Times New Roman" w:cs="Times New Roman"/>
          <w:sz w:val="20"/>
          <w:szCs w:val="20"/>
        </w:rPr>
        <w:t>Em linhas gerais, se a biopolítica pode ser compreendida como forma de poder estatal em que a via</w:t>
      </w:r>
      <w:r w:rsidRPr="005304E3">
        <w:rPr>
          <w:rStyle w:val="Refdenotaderodap"/>
          <w:rFonts w:ascii="Times New Roman" w:hAnsi="Times New Roman" w:cs="Times New Roman"/>
          <w:sz w:val="20"/>
          <w:szCs w:val="20"/>
        </w:rPr>
        <w:footnoteReference w:id="121"/>
      </w:r>
      <w:r w:rsidRPr="005304E3">
        <w:rPr>
          <w:rFonts w:ascii="Times New Roman" w:hAnsi="Times New Roman" w:cs="Times New Roman"/>
          <w:sz w:val="20"/>
          <w:szCs w:val="20"/>
        </w:rPr>
        <w:t xml:space="preserve"> (sic) é gerida a partir de tecnologias e saberes endereçados à sua manutenção e controle, a necropolítica consiste em uma forma de poder estatal em que a gestão da vida das populações ocorre por meio de ações e inações, acrescento - endereçadas a produção de morte de determinados grupos sociais, notadamente aqueles subalternizados em função de sistemas classificatórios de raça - e classe, acrescento. Em bom português, necropolítica é um termo criado para tratar de algo que nós, brasileiros e brasileiras, conhecemos de longa data: as diversas formas que são utilizadas para, de forma sistemática, exterminar a população não branca e pobre (MIRANDA, 2021</w:t>
      </w:r>
      <w:r w:rsidR="00781834" w:rsidRPr="005304E3">
        <w:rPr>
          <w:rFonts w:ascii="Times New Roman" w:hAnsi="Times New Roman" w:cs="Times New Roman"/>
          <w:sz w:val="20"/>
          <w:szCs w:val="20"/>
        </w:rPr>
        <w:t>:</w:t>
      </w:r>
      <w:r w:rsidRPr="005304E3">
        <w:rPr>
          <w:rFonts w:ascii="Times New Roman" w:hAnsi="Times New Roman" w:cs="Times New Roman"/>
          <w:sz w:val="20"/>
          <w:szCs w:val="20"/>
        </w:rPr>
        <w:t xml:space="preserve"> 15)</w:t>
      </w:r>
      <w:r w:rsidR="00781834" w:rsidRPr="005304E3">
        <w:rPr>
          <w:rFonts w:ascii="Times New Roman" w:hAnsi="Times New Roman" w:cs="Times New Roman"/>
          <w:sz w:val="20"/>
          <w:szCs w:val="20"/>
        </w:rPr>
        <w:t>.</w:t>
      </w:r>
    </w:p>
    <w:p w14:paraId="024B547A" w14:textId="77777777" w:rsidR="00E44444" w:rsidRPr="009E3A67" w:rsidRDefault="002F02FC"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 </w:t>
      </w:r>
      <w:r w:rsidR="00E44444" w:rsidRPr="009E3A67">
        <w:rPr>
          <w:rFonts w:ascii="Times New Roman" w:hAnsi="Times New Roman" w:cs="Times New Roman"/>
          <w:sz w:val="24"/>
          <w:szCs w:val="24"/>
        </w:rPr>
        <w:tab/>
      </w:r>
      <w:r w:rsidRPr="009E3A67">
        <w:rPr>
          <w:rFonts w:ascii="Times New Roman" w:hAnsi="Times New Roman" w:cs="Times New Roman"/>
          <w:sz w:val="24"/>
          <w:szCs w:val="24"/>
        </w:rPr>
        <w:t>De forma progressiva e menos direta — quando comparada à colonialidade —, o poder, na modernidade, se difunde por diversas esferas da vida político-social, de forma a ser capaz de ascender determinados grupos privilegiados, bem como de manipular e sucumbir sujeitos racialmente e economicamente marcados pela subalternização. A princípio, Achille Mbembe (2018), assim como Gabriel Miranda (2021), também utiliza do termo “biopolítica” para se referir às políticas de controle de vida e morte dos sujeitos. Em adição, Mbembe (2018</w:t>
      </w:r>
      <w:r w:rsidR="00E44444" w:rsidRPr="009E3A67">
        <w:rPr>
          <w:rFonts w:ascii="Times New Roman" w:hAnsi="Times New Roman" w:cs="Times New Roman"/>
          <w:sz w:val="24"/>
          <w:szCs w:val="24"/>
        </w:rPr>
        <w:t>;</w:t>
      </w:r>
      <w:r w:rsidRPr="009E3A67">
        <w:rPr>
          <w:rFonts w:ascii="Times New Roman" w:hAnsi="Times New Roman" w:cs="Times New Roman"/>
          <w:sz w:val="24"/>
          <w:szCs w:val="24"/>
        </w:rPr>
        <w:t>17-19) enfatiza que esse modo de poder incita a categorização das espécies humanas, bem como estabelece uma “censura biológica” entre os grupos, o que traça uma política de raças aniquiladora da alteridade, responsável por reproduzir práticas de “racismo”.</w:t>
      </w:r>
    </w:p>
    <w:p w14:paraId="1EF4717D" w14:textId="589AB70E" w:rsidR="00E44444" w:rsidRPr="009E3A67" w:rsidRDefault="002F02FC"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 </w:t>
      </w:r>
      <w:r w:rsidR="00E44444" w:rsidRPr="009E3A67">
        <w:rPr>
          <w:rFonts w:ascii="Times New Roman" w:hAnsi="Times New Roman" w:cs="Times New Roman"/>
          <w:sz w:val="24"/>
          <w:szCs w:val="24"/>
        </w:rPr>
        <w:tab/>
      </w:r>
      <w:r w:rsidRPr="009E3A67">
        <w:rPr>
          <w:rFonts w:ascii="Times New Roman" w:hAnsi="Times New Roman" w:cs="Times New Roman"/>
          <w:sz w:val="24"/>
          <w:szCs w:val="24"/>
        </w:rPr>
        <w:t>Luis Felipe Miguel (2018</w:t>
      </w:r>
      <w:r w:rsidR="00781834" w:rsidRPr="009E3A67">
        <w:rPr>
          <w:rFonts w:ascii="Times New Roman" w:hAnsi="Times New Roman" w:cs="Times New Roman"/>
          <w:sz w:val="24"/>
          <w:szCs w:val="24"/>
        </w:rPr>
        <w:t>:</w:t>
      </w:r>
      <w:r w:rsidRPr="009E3A67">
        <w:rPr>
          <w:rFonts w:ascii="Times New Roman" w:hAnsi="Times New Roman" w:cs="Times New Roman"/>
          <w:sz w:val="24"/>
          <w:szCs w:val="24"/>
        </w:rPr>
        <w:t>16) aborda que “ser cidadão” é tomar posse de um conjunto de direitos e potencialidades de ação, como também é atuar no interior e em conjunto com essas instituições que legitimam tais direitos e potencialidades. Ocorre que, apesar da garantia constitucional (1988), a sociedade é acometida por uma democracia deficiente, que, ao invés de contrabalancear a desproporcionalidade que sujeitos privilegiados exercem, se apega a uma série de processos compulsórios de dominação e coerção (MIGUEL, 2018). Mascarados pela sugestionabilidade, irracionalidade e impulsividade das massas (LE BON, 1980), esses</w:t>
      </w:r>
      <w:r w:rsidR="00E44444" w:rsidRPr="009E3A67">
        <w:rPr>
          <w:rFonts w:ascii="Times New Roman" w:hAnsi="Times New Roman" w:cs="Times New Roman"/>
          <w:sz w:val="24"/>
          <w:szCs w:val="24"/>
        </w:rPr>
        <w:t xml:space="preserve"> grupos, dominados por uma falsa legitimidade democrática, tornam-se expostos à aquisição de pensamentos e ideais alienados. </w:t>
      </w:r>
    </w:p>
    <w:p w14:paraId="22B27F7D" w14:textId="649B7A79" w:rsidR="00E44444" w:rsidRPr="009E3A67"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O pacto da branquitude, por exemplo, conceituado e citado por Cida Bento (2022;17-20), explica que há um conjunto de normas implícitas que regem a estrutura de poder que privilegia sujeitos brancos em relação a pessoas negras, mestiças e indígenas conforme o grau interseccional de suas interdições. Do mesmo modo, a Colonialidade Brasileira —1500 a 1822— foi marcada por práticas eurocêntricas e reducionistas, em que “o corpo colonizado é entendido como destituído de agência, subjetividade e voz.” (REIS, 2022 apud HOOKS, 1995</w:t>
      </w:r>
      <w:r w:rsidR="00FD36B3" w:rsidRPr="009E3A67">
        <w:rPr>
          <w:rFonts w:ascii="Times New Roman" w:hAnsi="Times New Roman" w:cs="Times New Roman"/>
          <w:sz w:val="24"/>
          <w:szCs w:val="24"/>
        </w:rPr>
        <w:t>:</w:t>
      </w:r>
      <w:r w:rsidRPr="009E3A67">
        <w:rPr>
          <w:rFonts w:ascii="Times New Roman" w:hAnsi="Times New Roman" w:cs="Times New Roman"/>
          <w:sz w:val="24"/>
          <w:szCs w:val="24"/>
        </w:rPr>
        <w:t xml:space="preserve">4). </w:t>
      </w:r>
    </w:p>
    <w:p w14:paraId="34D195EF" w14:textId="77777777" w:rsidR="00E44444" w:rsidRPr="009E3A67"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Declaração Universal dos Direitos Humanos (1948) e a Constituição Federal Brasileira (1988) estabeleceram direitos fundamentais para a regulação da vida civil, social e política, o que garantiu aos residentes do Brasil, sejam eles brasileiros ou estrangeiros, a proteção de sua liberdade, sua segurança e sua igualdade. Em contraponto, ser cidadão brasileiro é assumir possuir uma história marcada por violações e atravessamentos, cujos quais evidenciam a expropriação da autonomia, da preservação e da simetria no tratamento relativo aos grupos nativos e afro diaspóricos.</w:t>
      </w:r>
    </w:p>
    <w:p w14:paraId="6771BC27" w14:textId="77777777" w:rsidR="00E44444" w:rsidRPr="009E3A67"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Em continuidade, Luis Felipe Miguel (2018) desenvolve o conceito de pluralismo: </w:t>
      </w:r>
    </w:p>
    <w:p w14:paraId="114C0534" w14:textId="3613F8F9" w:rsidR="00E44444" w:rsidRPr="009E3A67" w:rsidRDefault="00E44444" w:rsidP="00E44444">
      <w:pPr>
        <w:tabs>
          <w:tab w:val="left" w:pos="851"/>
        </w:tabs>
        <w:spacing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Ela entende que o regime democrático não pode ser definido como “governo do povo”, uma vez que esse coletivo - “povo” - é atravessado por divergências internas e não possui uma vontade una. O que caracteriza a democracia é que esses diferentes grupos, dentro desse coletivo, são capazes de mobilizar recursos para pressionarem em defesa de seus interesses. Sem ser propriamente governo “da maioria”, a democracia é um governo de “muitas minorias”, já que o exercício do poder exige acomodar os interesses de vários desses grupos (MIGUEL, 2018</w:t>
      </w:r>
      <w:r w:rsidR="00FD36B3" w:rsidRPr="009E3A67">
        <w:rPr>
          <w:rFonts w:ascii="Times New Roman" w:hAnsi="Times New Roman" w:cs="Times New Roman"/>
          <w:sz w:val="20"/>
          <w:szCs w:val="20"/>
        </w:rPr>
        <w:t>:</w:t>
      </w:r>
      <w:r w:rsidRPr="009E3A67">
        <w:rPr>
          <w:rFonts w:ascii="Times New Roman" w:hAnsi="Times New Roman" w:cs="Times New Roman"/>
          <w:sz w:val="20"/>
          <w:szCs w:val="20"/>
        </w:rPr>
        <w:t xml:space="preserve"> 28)</w:t>
      </w:r>
      <w:r w:rsidR="00FD36B3" w:rsidRPr="009E3A67">
        <w:rPr>
          <w:rFonts w:ascii="Times New Roman" w:hAnsi="Times New Roman" w:cs="Times New Roman"/>
          <w:sz w:val="20"/>
          <w:szCs w:val="20"/>
        </w:rPr>
        <w:t>.</w:t>
      </w:r>
    </w:p>
    <w:p w14:paraId="29871877" w14:textId="77777777" w:rsidR="00FD36B3" w:rsidRPr="009E3A67" w:rsidRDefault="00FD36B3" w:rsidP="00FD36B3">
      <w:pPr>
        <w:tabs>
          <w:tab w:val="left" w:pos="851"/>
        </w:tabs>
        <w:spacing w:after="0" w:line="240" w:lineRule="auto"/>
        <w:ind w:left="2268"/>
        <w:jc w:val="both"/>
        <w:rPr>
          <w:rFonts w:ascii="Times New Roman" w:hAnsi="Times New Roman" w:cs="Times New Roman"/>
          <w:sz w:val="20"/>
          <w:szCs w:val="20"/>
        </w:rPr>
      </w:pPr>
    </w:p>
    <w:p w14:paraId="2C7057FC" w14:textId="64840F00" w:rsidR="00E44444" w:rsidRPr="009E3A67"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partir da perspectiva de Miguel (2018), cabe questionar: a que ponto o atual sistema de ensino comporta a pluralidade presente na sociedade brasileira? A educação é, antes de tudo, um ato político (FREIRE, 1991), pois está intrinsecamente ligada às relações de poder e às estruturas sociais que moldam as sociedades. Ao ser um espaço de transmissão e construção de saberes, a educação não é - e não pode ser - neutra, haja vista sua capacidade de produzir, reproduzir, refletir e reforçar as cosmovisões, os valores e os interesses de determinadas classes. Nesse sentido, o ambiente acadêmico pode ser um espaço construído para “muitas minorias” (MIGUEL, 2018</w:t>
      </w:r>
      <w:r w:rsidR="00FD36B3" w:rsidRPr="009E3A67">
        <w:rPr>
          <w:rFonts w:ascii="Times New Roman" w:hAnsi="Times New Roman" w:cs="Times New Roman"/>
          <w:sz w:val="24"/>
          <w:szCs w:val="24"/>
        </w:rPr>
        <w:t>:</w:t>
      </w:r>
      <w:r w:rsidRPr="009E3A67">
        <w:rPr>
          <w:rFonts w:ascii="Times New Roman" w:hAnsi="Times New Roman" w:cs="Times New Roman"/>
          <w:sz w:val="24"/>
          <w:szCs w:val="24"/>
        </w:rPr>
        <w:t xml:space="preserve"> 28), simbolizando e celebrando a resistência, a subversão e a transformação de povos historicamente marginalizados, ou pode representar um espaço conduzido por e para os interesses da classe dominante.</w:t>
      </w:r>
    </w:p>
    <w:p w14:paraId="6CEC2BF2" w14:textId="77777777" w:rsidR="00E44444" w:rsidRPr="009E3A67"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capacidade transformadora da educação, especialmente ao que cabe a realidade brasileira, se manifesta na sua potência de desconstruir paradigmas estabelecidos, desafiar as narrativas hegemônicas, de produzir novas cosmovisões… Nesse sentido, ela não apenas transmite conhecimentos, mas também permite a reinvenção do sujeito, contribuindo para a formação de uma consciência crítica capaz de compreender e atuar sobre as injustiças e desigualdades estruturais que marcam, não apenas o Brasil, como também o mundo.</w:t>
      </w:r>
    </w:p>
    <w:p w14:paraId="3B5ED51B" w14:textId="73F5D895" w:rsidR="00E44444" w:rsidRPr="009E3A67"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O pensamento pedagógico decolonial/anticolonial, surge assim em contextos de resistência, como parte de um “acumulado histórico” (NETO; STRECK, 2019</w:t>
      </w:r>
      <w:r w:rsidR="00FD36B3" w:rsidRPr="009E3A67">
        <w:rPr>
          <w:rFonts w:ascii="Times New Roman" w:hAnsi="Times New Roman" w:cs="Times New Roman"/>
          <w:sz w:val="24"/>
          <w:szCs w:val="24"/>
        </w:rPr>
        <w:t>:</w:t>
      </w:r>
      <w:r w:rsidRPr="009E3A67">
        <w:rPr>
          <w:rFonts w:ascii="Times New Roman" w:hAnsi="Times New Roman" w:cs="Times New Roman"/>
          <w:sz w:val="24"/>
          <w:szCs w:val="24"/>
        </w:rPr>
        <w:t xml:space="preserve">207). de uma educação considerada popular. Ele se insere como um movimento que visa a superar as limitações impostas pela educação colonial, ao promover uma abordagem que valoriza saberes, culturas e epistemologias não ocidentais, rompendo com a lógica da imposição de um único padrão de conhecimento (NETO; STRECK, 2019). Esse pensamento busca, assim, a construção de uma educação que seja plural, inclusiva e emancipadora, capaz de devolver às comunidades o protagonismo na construção do seu próprio saber e no processo de autodeterminação cultural. </w:t>
      </w:r>
    </w:p>
    <w:p w14:paraId="40223FC1" w14:textId="77777777" w:rsidR="00E44444"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Este artigo, portanto, tem como interesse debater sobre os processos de controle produzidos pelo sistema de opressão político-racial brasileiro, para compreender e, assim, desmantelar a narrativa única e excludente perpassada pelos séculos. Nesse sentido, é preciso recorrer a historiografia para denunciar o silenciamento epistêmico da pluralidade de povos do Brasil, a fim de reconstruir uma identidade plural e autêntica, bem como, com o auxílio da educação, transformar espaços marcados racial e economicamente pela segregação, exclusão e alienação dos sujeitos nacionais.</w:t>
      </w:r>
    </w:p>
    <w:p w14:paraId="404ADCE3" w14:textId="77777777" w:rsidR="001A610F" w:rsidRPr="009E3A67" w:rsidRDefault="001A610F" w:rsidP="00E44444">
      <w:pPr>
        <w:tabs>
          <w:tab w:val="left" w:pos="851"/>
        </w:tabs>
        <w:spacing w:after="0" w:line="360" w:lineRule="auto"/>
        <w:jc w:val="both"/>
        <w:rPr>
          <w:rFonts w:ascii="Times New Roman" w:hAnsi="Times New Roman" w:cs="Times New Roman"/>
          <w:sz w:val="24"/>
          <w:szCs w:val="24"/>
        </w:rPr>
      </w:pPr>
    </w:p>
    <w:p w14:paraId="51728545" w14:textId="59204A11" w:rsidR="00E44444" w:rsidRPr="009E3A67" w:rsidRDefault="005304E3" w:rsidP="00CF37B1">
      <w:pPr>
        <w:tabs>
          <w:tab w:val="left" w:pos="851"/>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CF37B1" w:rsidRPr="009E3A67">
        <w:rPr>
          <w:rFonts w:ascii="Times New Roman" w:hAnsi="Times New Roman" w:cs="Times New Roman"/>
          <w:b/>
          <w:sz w:val="24"/>
          <w:szCs w:val="24"/>
        </w:rPr>
        <w:t xml:space="preserve"> </w:t>
      </w:r>
      <w:r w:rsidR="00E44444" w:rsidRPr="009E3A67">
        <w:rPr>
          <w:rFonts w:ascii="Times New Roman" w:hAnsi="Times New Roman" w:cs="Times New Roman"/>
          <w:b/>
          <w:sz w:val="24"/>
          <w:szCs w:val="24"/>
        </w:rPr>
        <w:t xml:space="preserve">MECANISMOS HISTÓRICO-PEDAGÓGICOS DE CONTROLE DOS CORPOS </w:t>
      </w:r>
    </w:p>
    <w:p w14:paraId="338B5EEA" w14:textId="77777777" w:rsidR="00A150E3" w:rsidRPr="009E3A67" w:rsidRDefault="00A150E3" w:rsidP="00CF37B1">
      <w:pPr>
        <w:tabs>
          <w:tab w:val="left" w:pos="851"/>
        </w:tabs>
        <w:spacing w:after="0" w:line="240" w:lineRule="auto"/>
        <w:jc w:val="both"/>
        <w:rPr>
          <w:rFonts w:ascii="Times New Roman" w:hAnsi="Times New Roman" w:cs="Times New Roman"/>
          <w:b/>
          <w:sz w:val="24"/>
          <w:szCs w:val="24"/>
        </w:rPr>
      </w:pPr>
    </w:p>
    <w:p w14:paraId="316F7A44" w14:textId="77777777" w:rsidR="00E44444" w:rsidRPr="009E3A67"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As práticas e estruturas educacionais, ao longo da história, foram desenvolvidas para disciplinar e regular os comportamentos, especialmente através da coerção do corpo e mente dos indivíduos, moldando-os de acordo com as normas e valores sociais dominantes. Influenciados pelas teorias de Michel Foucault (1975), que serão abordadas posteriormente, esses mecanismos utilizaram de técnicas de vigilância, normalização e treinamento que, muitas vezes, são disfarçadas sob o discurso da educação, mas que têm como objetivo a manutenção da ordem social e a produção de sujeitos conformados a determinados padrões de conduta. </w:t>
      </w:r>
    </w:p>
    <w:p w14:paraId="1CB24026" w14:textId="77777777" w:rsidR="00E44444" w:rsidRPr="009E3A67"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Para compreender esse processo, </w:t>
      </w:r>
    </w:p>
    <w:p w14:paraId="7D53A32E" w14:textId="1815603F" w:rsidR="00E44444" w:rsidRPr="009E3A67" w:rsidRDefault="00E44444" w:rsidP="00E44444">
      <w:pPr>
        <w:tabs>
          <w:tab w:val="left" w:pos="851"/>
        </w:tabs>
        <w:spacing w:before="240"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De acordo com Vygotsky, todas as atividades cognitivas básicas do indivíduo ocorrem de acordo com sua história social e acabam se constituindo no produto do desenvolvimento histórico-social de sua comunidade (Luria, 1976). Portanto, as habilidades cognitivas e as formas de estruturar o pensamento do indivíduo não são determinadas por fatores congênitos. São, isto sim, resultado das atividades praticadas de acordo com os hábitos sociais da cultura em que o indivíduo se desenvolve. Consequentemente, a história da sociedade na qual a criança se desenvolve e a história pessoal desta criança são fatores cruciais que vão determinar sua forma de pensar. Neste processo de desenvolvimento cognitivo, a linguagem tem papel crucial na determinação de como a criança vai aprender a pensar, uma vez que formas avançadas de pensamento são transmitidas à criança através de palavras (Murray Thomas, 1993). (VYGOTSKY, 1934;3)</w:t>
      </w:r>
      <w:r w:rsidR="00A150E3" w:rsidRPr="009E3A67">
        <w:rPr>
          <w:rFonts w:ascii="Times New Roman" w:hAnsi="Times New Roman" w:cs="Times New Roman"/>
          <w:sz w:val="20"/>
          <w:szCs w:val="20"/>
        </w:rPr>
        <w:t>.</w:t>
      </w:r>
    </w:p>
    <w:p w14:paraId="6F21330E" w14:textId="77777777" w:rsidR="008E075E" w:rsidRPr="009E3A67" w:rsidRDefault="008E075E" w:rsidP="008E075E">
      <w:pPr>
        <w:tabs>
          <w:tab w:val="left" w:pos="851"/>
        </w:tabs>
        <w:spacing w:after="0" w:line="240" w:lineRule="auto"/>
        <w:ind w:left="2268"/>
        <w:jc w:val="both"/>
        <w:rPr>
          <w:rFonts w:ascii="Times New Roman" w:hAnsi="Times New Roman" w:cs="Times New Roman"/>
          <w:sz w:val="20"/>
          <w:szCs w:val="20"/>
        </w:rPr>
      </w:pPr>
    </w:p>
    <w:p w14:paraId="0CA81074" w14:textId="77777777" w:rsidR="00E44444" w:rsidRPr="009E3A67" w:rsidRDefault="00E44444" w:rsidP="00A150E3">
      <w:pPr>
        <w:tabs>
          <w:tab w:val="left" w:pos="851"/>
        </w:tabs>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 Em concordância com Lev Semionovich Vygotsky (1934), Paulo Freire (2001;3) elabora que a palavra pode ser reconhecida como parte de uma construção histórico-cultural importantíssima no processo de tomada de consciência e de movimento em potência política. A partir dessas perspectivas, é possível compreender que as metodologias pedagógicas surgem como produto e fundamento da história, na medida em que é através dela, em conjunto com o desenvolvimento cognitivo da linguagem e a formação social da palavra, que a sociedade revela importantes concordâncias e contradições estruturais que são capazes de expandir ou limitar a liberdade humana (FREIRE, 2001). </w:t>
      </w:r>
    </w:p>
    <w:p w14:paraId="268BE59E" w14:textId="683F3B4A" w:rsidR="008D2676" w:rsidRPr="009E3A67" w:rsidRDefault="00E44444"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exemplo disso, especialmente a partir do século XIX, a Revolução Tecnológica, marcada pela introdução de lógicas de informatização/computacionais, foi responsável por importantes transformações subjetivas no que tange a comunicação (COSTA, 2002</w:t>
      </w:r>
      <w:r w:rsidR="008E075E" w:rsidRPr="009E3A67">
        <w:rPr>
          <w:rFonts w:ascii="Times New Roman" w:hAnsi="Times New Roman" w:cs="Times New Roman"/>
          <w:sz w:val="24"/>
          <w:szCs w:val="24"/>
        </w:rPr>
        <w:t>:</w:t>
      </w:r>
      <w:r w:rsidRPr="009E3A67">
        <w:rPr>
          <w:rFonts w:ascii="Times New Roman" w:hAnsi="Times New Roman" w:cs="Times New Roman"/>
          <w:sz w:val="24"/>
          <w:szCs w:val="24"/>
        </w:rPr>
        <w:t>193), que, aliada ao avanço da industrialização e da globalização, fez com que a educação fosse reformulada para atender às novas demandas de uma economia cada vez mais voltada para a produção em massa e a especialização do trabalho. Com isso, em vez de priorizar a formação de cidadãos críticos, como propunham as concepções educacionais de épocas anteriores, a escola passou a ser moldada, em grande parte, para a formação de indivíduos que atendem a um modelo de trabalhador especializado e passivo. Nesse processo, as estruturas de mercado colocaram a alienação (ALVES, 2013</w:t>
      </w:r>
      <w:r w:rsidR="008E075E" w:rsidRPr="009E3A67">
        <w:rPr>
          <w:rFonts w:ascii="Times New Roman" w:hAnsi="Times New Roman" w:cs="Times New Roman"/>
          <w:sz w:val="24"/>
          <w:szCs w:val="24"/>
        </w:rPr>
        <w:t>:</w:t>
      </w:r>
      <w:r w:rsidRPr="009E3A67">
        <w:rPr>
          <w:rFonts w:ascii="Times New Roman" w:hAnsi="Times New Roman" w:cs="Times New Roman"/>
          <w:sz w:val="24"/>
          <w:szCs w:val="24"/>
        </w:rPr>
        <w:t xml:space="preserve"> 58-59</w:t>
      </w:r>
      <w:r w:rsidRPr="009E3A67">
        <w:rPr>
          <w:rStyle w:val="Refdenotaderodap"/>
          <w:rFonts w:ascii="Times New Roman" w:hAnsi="Times New Roman" w:cs="Times New Roman"/>
          <w:sz w:val="24"/>
          <w:szCs w:val="24"/>
        </w:rPr>
        <w:footnoteReference w:id="122"/>
      </w:r>
      <w:r w:rsidRPr="009E3A67">
        <w:rPr>
          <w:rFonts w:ascii="Times New Roman" w:hAnsi="Times New Roman" w:cs="Times New Roman"/>
          <w:sz w:val="24"/>
          <w:szCs w:val="24"/>
        </w:rPr>
        <w:t xml:space="preserve">) e a sujeição (CASTANHEIRA, [s. d.]; 1) </w:t>
      </w:r>
      <w:r w:rsidRPr="009E3A67">
        <w:rPr>
          <w:rStyle w:val="Refdenotaderodap"/>
          <w:rFonts w:ascii="Times New Roman" w:hAnsi="Times New Roman" w:cs="Times New Roman"/>
          <w:sz w:val="24"/>
          <w:szCs w:val="24"/>
        </w:rPr>
        <w:footnoteReference w:id="123"/>
      </w:r>
      <w:r w:rsidRPr="009E3A67">
        <w:rPr>
          <w:rFonts w:ascii="Times New Roman" w:hAnsi="Times New Roman" w:cs="Times New Roman"/>
          <w:sz w:val="24"/>
          <w:szCs w:val="24"/>
        </w:rPr>
        <w:t xml:space="preserve">como condição de possibilidade de existência dos sujeitos da época, dado que eram requisitos para a adaptação às condições impostas pela lógica do sistema capitalista. </w:t>
      </w:r>
    </w:p>
    <w:p w14:paraId="5FF4B012" w14:textId="6595928B" w:rsidR="008D2676" w:rsidRPr="009E3A67" w:rsidRDefault="008D2676" w:rsidP="00E44444">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r>
      <w:r w:rsidR="00E44444" w:rsidRPr="009E3A67">
        <w:rPr>
          <w:rFonts w:ascii="Times New Roman" w:hAnsi="Times New Roman" w:cs="Times New Roman"/>
          <w:sz w:val="24"/>
          <w:szCs w:val="24"/>
        </w:rPr>
        <w:t>Ao conscientizar os sujeitos sobre essas contradições, a educação os capacita a questionar a realidade e a buscar mudanças, tornando insuportável a acomodação diante das injustiças. Dessa forma, a educação não é apenas um ato de ensino, mas um processo contínuo de emancipação e liberdade (FREIRE, 2001)</w:t>
      </w:r>
      <w:r w:rsidR="00A150E3" w:rsidRPr="009E3A67">
        <w:rPr>
          <w:rFonts w:ascii="Times New Roman" w:hAnsi="Times New Roman" w:cs="Times New Roman"/>
          <w:sz w:val="24"/>
          <w:szCs w:val="24"/>
        </w:rPr>
        <w:t>.</w:t>
      </w:r>
      <w:r w:rsidR="00E44444" w:rsidRPr="009E3A67">
        <w:rPr>
          <w:rFonts w:ascii="Times New Roman" w:hAnsi="Times New Roman" w:cs="Times New Roman"/>
          <w:sz w:val="24"/>
          <w:szCs w:val="24"/>
        </w:rPr>
        <w:t xml:space="preserve"> </w:t>
      </w:r>
    </w:p>
    <w:p w14:paraId="49137BEE" w14:textId="13886756" w:rsidR="008D2676" w:rsidRPr="009E3A67" w:rsidRDefault="00E44444" w:rsidP="008D2676">
      <w:pPr>
        <w:tabs>
          <w:tab w:val="left" w:pos="851"/>
        </w:tabs>
        <w:spacing w:before="240"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Já no século XX, Bourdieu (1998), ao refletir sobre o papel social da escola, faz uma crítica à instituição porque entende que a escola é um espaço de reprodução de estruturas sociais e de transferência de capitais de uma geração para outra. É nela que o legado econômico da família se transforma em capital cultural. E este, segundo o sociólogo, está diretamente relacionado ao desempenho dos alunos na sala de aula. Para Bourdieu, a escola fornece a aparência de legitimidade às desigualdades sociais. Isto é, crianças com herança cultural precária, apresentam maiores dificuldades em demonstrar domínio sobre um conhecimento que, para elas, circula apenas no espaço escolar. Ocorrendo o oposto com os filhos das classes dominantes, que se mostram aptos e fluentes em saberes e valores que transitam entre sua vida familiar e a escola. O que Bourdieu não levou em conta, é que as desigualdades sociais dos pais dos alunos, motivam de forma disforme a desigualdade do conhecimento entre os alunos, como bem observou Dubet (2004). E a escola, apesar de acentuar desigualdades, também é reconhecida ideologicamente como instância promotora de oportunidades de ascensão (DIAS, 2023</w:t>
      </w:r>
      <w:r w:rsidR="008E075E" w:rsidRPr="009E3A67">
        <w:rPr>
          <w:rFonts w:ascii="Times New Roman" w:hAnsi="Times New Roman" w:cs="Times New Roman"/>
          <w:sz w:val="20"/>
          <w:szCs w:val="20"/>
        </w:rPr>
        <w:t>:</w:t>
      </w:r>
      <w:r w:rsidRPr="009E3A67">
        <w:rPr>
          <w:rFonts w:ascii="Times New Roman" w:hAnsi="Times New Roman" w:cs="Times New Roman"/>
          <w:sz w:val="20"/>
          <w:szCs w:val="20"/>
        </w:rPr>
        <w:t xml:space="preserve"> 622-623)</w:t>
      </w:r>
      <w:r w:rsidR="00A150E3" w:rsidRPr="009E3A67">
        <w:rPr>
          <w:rFonts w:ascii="Times New Roman" w:hAnsi="Times New Roman" w:cs="Times New Roman"/>
          <w:sz w:val="20"/>
          <w:szCs w:val="20"/>
        </w:rPr>
        <w:t>.</w:t>
      </w:r>
      <w:r w:rsidRPr="009E3A67">
        <w:rPr>
          <w:rFonts w:ascii="Times New Roman" w:hAnsi="Times New Roman" w:cs="Times New Roman"/>
          <w:sz w:val="20"/>
          <w:szCs w:val="20"/>
        </w:rPr>
        <w:t xml:space="preserve"> </w:t>
      </w:r>
    </w:p>
    <w:p w14:paraId="0B8627B1" w14:textId="31C319F7" w:rsidR="008D2676" w:rsidRPr="009E3A67" w:rsidRDefault="008D2676" w:rsidP="008D2676">
      <w:pPr>
        <w:tabs>
          <w:tab w:val="left" w:pos="851"/>
        </w:tabs>
        <w:spacing w:before="240" w:line="360" w:lineRule="auto"/>
        <w:jc w:val="both"/>
        <w:rPr>
          <w:rFonts w:ascii="Times New Roman" w:hAnsi="Times New Roman" w:cs="Times New Roman"/>
          <w:sz w:val="24"/>
          <w:szCs w:val="24"/>
        </w:rPr>
      </w:pPr>
      <w:r w:rsidRPr="009E3A67">
        <w:rPr>
          <w:rFonts w:ascii="Times New Roman" w:hAnsi="Times New Roman" w:cs="Times New Roman"/>
          <w:sz w:val="24"/>
          <w:szCs w:val="24"/>
        </w:rPr>
        <w:tab/>
      </w:r>
      <w:r w:rsidR="00E44444" w:rsidRPr="009E3A67">
        <w:rPr>
          <w:rFonts w:ascii="Times New Roman" w:hAnsi="Times New Roman" w:cs="Times New Roman"/>
          <w:sz w:val="24"/>
          <w:szCs w:val="24"/>
        </w:rPr>
        <w:t>Maria Regina dos Santos Prata (2005</w:t>
      </w:r>
      <w:r w:rsidR="008A7B7A">
        <w:rPr>
          <w:rFonts w:ascii="Times New Roman" w:hAnsi="Times New Roman" w:cs="Times New Roman"/>
          <w:sz w:val="24"/>
          <w:szCs w:val="24"/>
        </w:rPr>
        <w:t>:</w:t>
      </w:r>
      <w:r w:rsidR="00E44444" w:rsidRPr="009E3A67">
        <w:rPr>
          <w:rFonts w:ascii="Times New Roman" w:hAnsi="Times New Roman" w:cs="Times New Roman"/>
          <w:sz w:val="24"/>
          <w:szCs w:val="24"/>
        </w:rPr>
        <w:t>28) analisa o modo como o processo de subjetivação é parte de um aparato constante de transformações, deleções e introjeções de novas ou antigas características constituintes. Em continuação, Prata (2005) disserta que a escola também é parte fundamental desse processo, sendo este um local propício para o estabelecimento evidente de relações hierarquizadas de normatização dos sujeitos, constituindo uma sociedade disciplinar (FOUCAULT, 1977 apud PRATA, 2005). Fator que atuou fortemente no crescimento das desigualdades e colocou a educação como projeto político de controle social.</w:t>
      </w:r>
      <w:r w:rsidRPr="009E3A67">
        <w:rPr>
          <w:rFonts w:ascii="Times New Roman" w:hAnsi="Times New Roman" w:cs="Times New Roman"/>
          <w:sz w:val="24"/>
          <w:szCs w:val="24"/>
        </w:rPr>
        <w:t xml:space="preserve"> (DIAS, 2023</w:t>
      </w:r>
      <w:r w:rsidR="008E075E" w:rsidRPr="009E3A67">
        <w:rPr>
          <w:rFonts w:ascii="Times New Roman" w:hAnsi="Times New Roman" w:cs="Times New Roman"/>
          <w:sz w:val="24"/>
          <w:szCs w:val="24"/>
        </w:rPr>
        <w:t>:</w:t>
      </w:r>
      <w:r w:rsidRPr="009E3A67">
        <w:rPr>
          <w:rFonts w:ascii="Times New Roman" w:hAnsi="Times New Roman" w:cs="Times New Roman"/>
          <w:sz w:val="24"/>
          <w:szCs w:val="24"/>
        </w:rPr>
        <w:t xml:space="preserve"> 623). A exemplo disso, Prata (2005</w:t>
      </w:r>
      <w:r w:rsidR="008E075E" w:rsidRPr="009E3A67">
        <w:rPr>
          <w:rFonts w:ascii="Times New Roman" w:hAnsi="Times New Roman" w:cs="Times New Roman"/>
          <w:sz w:val="24"/>
          <w:szCs w:val="24"/>
        </w:rPr>
        <w:t>:</w:t>
      </w:r>
      <w:r w:rsidRPr="009E3A67">
        <w:rPr>
          <w:rFonts w:ascii="Times New Roman" w:hAnsi="Times New Roman" w:cs="Times New Roman"/>
          <w:sz w:val="24"/>
          <w:szCs w:val="24"/>
        </w:rPr>
        <w:t xml:space="preserve">29) aborda sobre técnicas de enclausuramento e/ou de organizações hierárquicas de lugares específicos: </w:t>
      </w:r>
    </w:p>
    <w:p w14:paraId="34AD56B1" w14:textId="78288B5F" w:rsidR="008D2676" w:rsidRPr="009E3A67" w:rsidRDefault="008D2676" w:rsidP="00A150E3">
      <w:pPr>
        <w:tabs>
          <w:tab w:val="left" w:pos="851"/>
        </w:tabs>
        <w:spacing w:after="0"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As disciplinas, organizando as “celas”, os “lugares” e as “fileiras”, criam espaços complexos: ao mesmo tempo arquiteturais, funcionais e hierárquicos. São espaços que realizam a fixação e permitem a circulação; recortam segmentos individuais e estabelecem ligações operatórias; marcam lugares e indicam valores; garantem a obediência dos indivíduos, mas também uma melhor economia do tempo e dos gestos [...]. A primeira das grandes operações da disciplina é então a constituição de “quadros vivos” que transformam as multidões confusas, inúteis ou perigosas em multiplicidades organizadas. (FOUCAULT, 1977</w:t>
      </w:r>
      <w:r w:rsidR="008E075E" w:rsidRPr="009E3A67">
        <w:rPr>
          <w:rFonts w:ascii="Times New Roman" w:hAnsi="Times New Roman" w:cs="Times New Roman"/>
          <w:sz w:val="20"/>
          <w:szCs w:val="20"/>
        </w:rPr>
        <w:t>:</w:t>
      </w:r>
      <w:r w:rsidRPr="009E3A67">
        <w:rPr>
          <w:rFonts w:ascii="Times New Roman" w:hAnsi="Times New Roman" w:cs="Times New Roman"/>
          <w:sz w:val="20"/>
          <w:szCs w:val="20"/>
        </w:rPr>
        <w:t>135, PRATA, 2005).</w:t>
      </w:r>
    </w:p>
    <w:p w14:paraId="54220963" w14:textId="77777777" w:rsidR="00A150E3" w:rsidRPr="009E3A67" w:rsidRDefault="00A150E3" w:rsidP="00A150E3">
      <w:pPr>
        <w:tabs>
          <w:tab w:val="left" w:pos="851"/>
        </w:tabs>
        <w:spacing w:after="0" w:line="240" w:lineRule="auto"/>
        <w:ind w:left="2268"/>
        <w:jc w:val="both"/>
        <w:rPr>
          <w:rFonts w:ascii="Times New Roman" w:hAnsi="Times New Roman" w:cs="Times New Roman"/>
          <w:sz w:val="20"/>
          <w:szCs w:val="20"/>
        </w:rPr>
      </w:pPr>
    </w:p>
    <w:p w14:paraId="78E39046" w14:textId="7A3B2F4B" w:rsidR="008D2676" w:rsidRPr="009E3A67" w:rsidRDefault="008D2676" w:rsidP="008D2676">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relação de poder na escola, portanto, é internalizada pelos próprios sujeitos, através de regras que passam a regular as crianças de acordo com as normas sociais e expectativas estabelecidas. Fator que está diretamente associado ao conceito foucaultiano de “biopoder” (BERTOLINI, 2018</w:t>
      </w:r>
      <w:r w:rsidR="008E075E" w:rsidRPr="009E3A67">
        <w:rPr>
          <w:rFonts w:ascii="Times New Roman" w:hAnsi="Times New Roman" w:cs="Times New Roman"/>
          <w:sz w:val="24"/>
          <w:szCs w:val="24"/>
        </w:rPr>
        <w:t>:</w:t>
      </w:r>
      <w:r w:rsidRPr="009E3A67">
        <w:rPr>
          <w:rFonts w:ascii="Times New Roman" w:hAnsi="Times New Roman" w:cs="Times New Roman"/>
          <w:sz w:val="24"/>
          <w:szCs w:val="24"/>
        </w:rPr>
        <w:t xml:space="preserve"> 86-100</w:t>
      </w:r>
      <w:r w:rsidRPr="009E3A67">
        <w:rPr>
          <w:rStyle w:val="Refdenotaderodap"/>
          <w:rFonts w:ascii="Times New Roman" w:hAnsi="Times New Roman" w:cs="Times New Roman"/>
          <w:sz w:val="24"/>
          <w:szCs w:val="24"/>
        </w:rPr>
        <w:footnoteReference w:id="124"/>
      </w:r>
      <w:r w:rsidRPr="009E3A67">
        <w:rPr>
          <w:rFonts w:ascii="Times New Roman" w:hAnsi="Times New Roman" w:cs="Times New Roman"/>
          <w:sz w:val="24"/>
          <w:szCs w:val="24"/>
        </w:rPr>
        <w:t xml:space="preserve">) - poder que se exerce sobre os corpos e vidas dos indivíduos -. Isso se dá, por exemplo, a partir da criação de um microcosmo do poder, capaz de controlar os alunos, por meio de práticas de hierarquização, como a divisão entre alunos, professores, diretores; de vigilância constante, por meio da presença de câmeras; da organização do tempo e espaço, como a separação do dia em atividades específicas, a organização física das salas de aula, etc. </w:t>
      </w:r>
    </w:p>
    <w:p w14:paraId="4D22D4AD" w14:textId="468144F8" w:rsidR="008D2676" w:rsidRPr="009E3A67" w:rsidRDefault="008D2676" w:rsidP="008D2676">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De forma contraditória, a educação também passou a ser o meio considerado para a ascensão social (DIAS, 2023</w:t>
      </w:r>
      <w:r w:rsidR="008E075E" w:rsidRPr="009E3A67">
        <w:rPr>
          <w:rFonts w:ascii="Times New Roman" w:hAnsi="Times New Roman" w:cs="Times New Roman"/>
          <w:sz w:val="24"/>
          <w:szCs w:val="24"/>
        </w:rPr>
        <w:t>:</w:t>
      </w:r>
      <w:r w:rsidRPr="009E3A67">
        <w:rPr>
          <w:rFonts w:ascii="Times New Roman" w:hAnsi="Times New Roman" w:cs="Times New Roman"/>
          <w:sz w:val="24"/>
          <w:szCs w:val="24"/>
        </w:rPr>
        <w:t>623). Embora a classes baixas, por exemplo possuíam acesso à educação, esta era precária e marcada pela ausência de um ensino de qualidade</w:t>
      </w:r>
      <w:r w:rsidRPr="009E3A67">
        <w:rPr>
          <w:rStyle w:val="Refdenotaderodap"/>
          <w:rFonts w:ascii="Times New Roman" w:hAnsi="Times New Roman" w:cs="Times New Roman"/>
          <w:sz w:val="24"/>
          <w:szCs w:val="24"/>
        </w:rPr>
        <w:footnoteReference w:id="125"/>
      </w:r>
      <w:r w:rsidRPr="009E3A67">
        <w:rPr>
          <w:rFonts w:ascii="Times New Roman" w:hAnsi="Times New Roman" w:cs="Times New Roman"/>
          <w:sz w:val="24"/>
          <w:szCs w:val="24"/>
        </w:rPr>
        <w:t xml:space="preserve">, a escassez de políticas afirmativas integrativas e a própria mentalidade discriminatória que permeia os espaços acadêmicos dificultam não apenas a inserção, mas criam um falso senso igualitário de capacidade de ascensão entre grupos privilegiados e grupos minoritários. Desse modo, grupos considerados subalternizados, eram pouco - ou nada - acometidos por oportunidades pedagógicas voltadas ao desenvolvimento intelectual, cultural e moral, em especial debate, sujeitos negros, mestiços e indígenas. </w:t>
      </w:r>
    </w:p>
    <w:p w14:paraId="4C45C571" w14:textId="2641563F" w:rsidR="008D2676" w:rsidRPr="009E3A67" w:rsidRDefault="008D2676" w:rsidP="008D2676">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Na atualidade, o acesso ao conhecimento se mantém atrelado às barreiras desiguais </w:t>
      </w:r>
      <w:r w:rsidR="008E075E" w:rsidRPr="009E3A67">
        <w:rPr>
          <w:rFonts w:ascii="Times New Roman" w:hAnsi="Times New Roman" w:cs="Times New Roman"/>
          <w:sz w:val="24"/>
          <w:szCs w:val="24"/>
        </w:rPr>
        <w:t>socioeconômicas</w:t>
      </w:r>
      <w:r w:rsidRPr="009E3A67">
        <w:rPr>
          <w:rFonts w:ascii="Times New Roman" w:hAnsi="Times New Roman" w:cs="Times New Roman"/>
          <w:sz w:val="24"/>
          <w:szCs w:val="24"/>
        </w:rPr>
        <w:t xml:space="preserve">. Contudo, </w:t>
      </w:r>
      <w:r w:rsidR="008A7B7A" w:rsidRPr="009E3A67">
        <w:rPr>
          <w:rFonts w:ascii="Times New Roman" w:hAnsi="Times New Roman" w:cs="Times New Roman"/>
          <w:sz w:val="24"/>
          <w:szCs w:val="24"/>
        </w:rPr>
        <w:t>houve</w:t>
      </w:r>
      <w:r w:rsidRPr="009E3A67">
        <w:rPr>
          <w:rFonts w:ascii="Times New Roman" w:hAnsi="Times New Roman" w:cs="Times New Roman"/>
          <w:sz w:val="24"/>
          <w:szCs w:val="24"/>
        </w:rPr>
        <w:t xml:space="preserve"> pequenos avanços nas políticas públicas - como as leis 10.639/20038 </w:t>
      </w:r>
      <w:r w:rsidRPr="009E3A67">
        <w:rPr>
          <w:rStyle w:val="Refdenotaderodap"/>
          <w:rFonts w:ascii="Times New Roman" w:hAnsi="Times New Roman" w:cs="Times New Roman"/>
          <w:sz w:val="24"/>
          <w:szCs w:val="24"/>
        </w:rPr>
        <w:footnoteReference w:id="126"/>
      </w:r>
      <w:r w:rsidRPr="009E3A67">
        <w:rPr>
          <w:rFonts w:ascii="Times New Roman" w:hAnsi="Times New Roman" w:cs="Times New Roman"/>
          <w:sz w:val="24"/>
          <w:szCs w:val="24"/>
        </w:rPr>
        <w:t xml:space="preserve">e a Política Nacional de Equidade, Educação para as Relações Étnico-Raciais e Educação Escolar Quilombola (Pneerq, 1996) </w:t>
      </w:r>
      <w:r w:rsidRPr="009E3A67">
        <w:rPr>
          <w:rStyle w:val="Refdenotaderodap"/>
          <w:rFonts w:ascii="Times New Roman" w:hAnsi="Times New Roman" w:cs="Times New Roman"/>
          <w:sz w:val="24"/>
          <w:szCs w:val="24"/>
        </w:rPr>
        <w:footnoteReference w:id="127"/>
      </w:r>
      <w:r w:rsidRPr="009E3A67">
        <w:rPr>
          <w:rFonts w:ascii="Times New Roman" w:hAnsi="Times New Roman" w:cs="Times New Roman"/>
          <w:sz w:val="24"/>
          <w:szCs w:val="24"/>
        </w:rPr>
        <w:t xml:space="preserve">- que auxiliam alunos racialmente marcados que conseguem ingressar em ambientes acadêmicos, de modo a minimizar a árdua jornada de silenciamento e desvalorização. </w:t>
      </w:r>
    </w:p>
    <w:p w14:paraId="2BB45CAA" w14:textId="77777777" w:rsidR="008D2676" w:rsidRPr="009E3A67" w:rsidRDefault="008D2676" w:rsidP="00D42AA5">
      <w:pPr>
        <w:tabs>
          <w:tab w:val="left" w:pos="851"/>
        </w:tabs>
        <w:spacing w:after="0" w:line="360" w:lineRule="auto"/>
        <w:jc w:val="both"/>
        <w:rPr>
          <w:rFonts w:ascii="Times New Roman" w:hAnsi="Times New Roman" w:cs="Times New Roman"/>
          <w:sz w:val="24"/>
          <w:szCs w:val="24"/>
        </w:rPr>
      </w:pPr>
    </w:p>
    <w:p w14:paraId="5CD2FD3F" w14:textId="28243AD0" w:rsidR="000B6A7F" w:rsidRPr="009E3A67" w:rsidRDefault="000B6A7F" w:rsidP="00D42AA5">
      <w:pPr>
        <w:tabs>
          <w:tab w:val="left" w:pos="851"/>
        </w:tabs>
        <w:spacing w:after="0" w:line="240" w:lineRule="auto"/>
        <w:jc w:val="both"/>
        <w:rPr>
          <w:rFonts w:ascii="Times New Roman" w:hAnsi="Times New Roman" w:cs="Times New Roman"/>
          <w:b/>
          <w:sz w:val="24"/>
          <w:szCs w:val="24"/>
        </w:rPr>
      </w:pPr>
      <w:r w:rsidRPr="009E3A67">
        <w:rPr>
          <w:rFonts w:ascii="Times New Roman" w:hAnsi="Times New Roman" w:cs="Times New Roman"/>
          <w:b/>
          <w:sz w:val="24"/>
          <w:szCs w:val="24"/>
        </w:rPr>
        <w:t>2</w:t>
      </w:r>
      <w:r w:rsidR="005304E3">
        <w:rPr>
          <w:rFonts w:ascii="Times New Roman" w:hAnsi="Times New Roman" w:cs="Times New Roman"/>
          <w:b/>
          <w:sz w:val="24"/>
          <w:szCs w:val="24"/>
        </w:rPr>
        <w:t>.1</w:t>
      </w:r>
      <w:r w:rsidRPr="009E3A67">
        <w:rPr>
          <w:rFonts w:ascii="Times New Roman" w:hAnsi="Times New Roman" w:cs="Times New Roman"/>
          <w:b/>
          <w:sz w:val="24"/>
          <w:szCs w:val="24"/>
        </w:rPr>
        <w:t xml:space="preserve"> </w:t>
      </w:r>
      <w:r w:rsidR="008D2676" w:rsidRPr="009E3A67">
        <w:rPr>
          <w:rFonts w:ascii="Times New Roman" w:hAnsi="Times New Roman" w:cs="Times New Roman"/>
          <w:b/>
          <w:sz w:val="24"/>
          <w:szCs w:val="24"/>
        </w:rPr>
        <w:t>VOZES ANCESTRAIS: ENTRE O SILENCIAMENTO VELADO E AS NOVAS TENTATIVAS DE EXPRESSÃO</w:t>
      </w:r>
    </w:p>
    <w:p w14:paraId="0ECDBD2A" w14:textId="77777777" w:rsidR="00B1099D" w:rsidRPr="009E3A67" w:rsidRDefault="00B1099D" w:rsidP="00B1099D">
      <w:pPr>
        <w:tabs>
          <w:tab w:val="left" w:pos="851"/>
        </w:tabs>
        <w:spacing w:after="0" w:line="240" w:lineRule="auto"/>
        <w:rPr>
          <w:rFonts w:ascii="Times New Roman" w:hAnsi="Times New Roman" w:cs="Times New Roman"/>
          <w:b/>
          <w:sz w:val="24"/>
          <w:szCs w:val="24"/>
        </w:rPr>
      </w:pPr>
    </w:p>
    <w:p w14:paraId="4FCEC7F5" w14:textId="70285646" w:rsidR="00B1099D" w:rsidRPr="009E3A67" w:rsidRDefault="008D2676" w:rsidP="00B1099D">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 </w:t>
      </w:r>
      <w:r w:rsidRPr="009E3A67">
        <w:rPr>
          <w:rFonts w:ascii="Times New Roman" w:hAnsi="Times New Roman" w:cs="Times New Roman"/>
          <w:sz w:val="24"/>
          <w:szCs w:val="24"/>
        </w:rPr>
        <w:tab/>
        <w:t xml:space="preserve">Ramacciotti e Calgado (2011;3) orientam que o termo minoria é fundamentado a partir da concepção de três elementos, sendo eles sua construção histórica, política, filosófica e social; a relação de disposição de poder entre um grupo majoritário e um grupo minoritário; e, por fim, a subjugação deste grupo minoritário aos processos de dominação. Nesse sentido, é possível analisar que os grupos considerados minorias no Brasil - crianças, idosos, mulheres, sujeitos afrodescendentes, homossexuais, deficientes, </w:t>
      </w:r>
      <w:r w:rsidR="00AE13D0" w:rsidRPr="009E3A67">
        <w:rPr>
          <w:rFonts w:ascii="Times New Roman" w:hAnsi="Times New Roman" w:cs="Times New Roman"/>
          <w:sz w:val="24"/>
          <w:szCs w:val="24"/>
        </w:rPr>
        <w:t>etc.</w:t>
      </w:r>
      <w:r w:rsidRPr="009E3A67">
        <w:rPr>
          <w:rFonts w:ascii="Times New Roman" w:hAnsi="Times New Roman" w:cs="Times New Roman"/>
          <w:sz w:val="24"/>
          <w:szCs w:val="24"/>
        </w:rPr>
        <w:t xml:space="preserve"> - são acometidos por uma ironia conceitual: são compostos por grandes massas, mas ainda assim são submetidos à sujeição de seus direitos... </w:t>
      </w:r>
    </w:p>
    <w:p w14:paraId="57E0B48E" w14:textId="4B6DD69B" w:rsidR="002A7C29" w:rsidRPr="009E3A67" w:rsidRDefault="008D2676" w:rsidP="00B1099D">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A partir dessa perspectiva, cabe questionar: o que é a pobreza no Brasil? E o quanto dela é constituída pelas múltiplas formas de castração da força de expressão da diversidade cultural e intelectual produtiva brasileira? A princípio, o termo Darwinismo Social foi utilizado pelo intelectual Hebert Spencer (1999) para impor uma ideologia que aplica a Teoria da Evolução de Charles Darwin (DARWIN, 2000), a qual explicava que havia um processo de seleção natural entre as espécies, cujo qual apenas seres aptos - mais desenvolvidos - seriam capazes de sobreviver às pressões do ambiente -, a essência humana, de modo que no século XIX e XX foi utilizada para implementar a crença de que algumas raças são geneticamente privilegiadas, ou seja, superiores a outras, o que, segundo os seguidores dessa ideologia, justificaria os processos de desigualdade social, racismo, imperialismo, xenofobia, etc. Fator esse que criou uma percepção hierárquica entre os sujeitos e suas massas, de forma a alimentar o processo de segregação e exclusão cultural de sujeitos racial e economicamente marcados. </w:t>
      </w:r>
    </w:p>
    <w:p w14:paraId="2ED4B297" w14:textId="77777777" w:rsidR="008A7B7A" w:rsidRDefault="008D2676" w:rsidP="002A7C29">
      <w:pPr>
        <w:tabs>
          <w:tab w:val="left" w:pos="851"/>
        </w:tabs>
        <w:spacing w:before="240" w:line="240" w:lineRule="auto"/>
        <w:ind w:left="2268"/>
        <w:jc w:val="both"/>
        <w:rPr>
          <w:rFonts w:ascii="Times New Roman" w:hAnsi="Times New Roman" w:cs="Times New Roman"/>
          <w:sz w:val="20"/>
          <w:szCs w:val="20"/>
        </w:rPr>
      </w:pPr>
      <w:r w:rsidRPr="00DF4947">
        <w:rPr>
          <w:rFonts w:ascii="Times New Roman" w:hAnsi="Times New Roman" w:cs="Times New Roman"/>
          <w:sz w:val="20"/>
          <w:szCs w:val="20"/>
        </w:rPr>
        <w:t>A exemplo disso, Pereira (2022) disserta sobre o processo de introjeção de preconceitos na sociedade brasileira: O que pode um corpo-negro? Objetificado. Deram-lhe nome: criado-mudo. Não fala, não sente, não chora, não olha, não respira, não pira. Só serve. Só obedece. Não grita. Paira o medo… “Apanha”, todos os dias? Silencia? Morre? Tentáculos do genocídio. Açoite da modernidade-colonialismo-</w:t>
      </w:r>
      <w:r w:rsidR="002A7C29" w:rsidRPr="00DF4947">
        <w:rPr>
          <w:rFonts w:ascii="Times New Roman" w:hAnsi="Times New Roman" w:cs="Times New Roman"/>
          <w:sz w:val="20"/>
          <w:szCs w:val="20"/>
        </w:rPr>
        <w:t>escravidão (</w:t>
      </w:r>
      <w:r w:rsidRPr="00DF4947">
        <w:rPr>
          <w:rFonts w:ascii="Times New Roman" w:hAnsi="Times New Roman" w:cs="Times New Roman"/>
          <w:sz w:val="20"/>
          <w:szCs w:val="20"/>
        </w:rPr>
        <w:t>PEREIRA et. al 2022)</w:t>
      </w:r>
      <w:r w:rsidR="002458C4" w:rsidRPr="00DF4947">
        <w:rPr>
          <w:rFonts w:ascii="Times New Roman" w:hAnsi="Times New Roman" w:cs="Times New Roman"/>
          <w:sz w:val="20"/>
          <w:szCs w:val="20"/>
        </w:rPr>
        <w:t>.</w:t>
      </w:r>
    </w:p>
    <w:p w14:paraId="627B8E7D" w14:textId="33967A0A" w:rsidR="002A7C29" w:rsidRDefault="008D2676" w:rsidP="008A7B7A">
      <w:pPr>
        <w:tabs>
          <w:tab w:val="left" w:pos="851"/>
        </w:tabs>
        <w:spacing w:after="0" w:line="240" w:lineRule="auto"/>
        <w:ind w:left="2268"/>
        <w:jc w:val="both"/>
        <w:rPr>
          <w:rFonts w:ascii="Times New Roman" w:hAnsi="Times New Roman" w:cs="Times New Roman"/>
          <w:sz w:val="20"/>
          <w:szCs w:val="20"/>
        </w:rPr>
      </w:pPr>
      <w:r w:rsidRPr="00DF4947">
        <w:rPr>
          <w:rFonts w:ascii="Times New Roman" w:hAnsi="Times New Roman" w:cs="Times New Roman"/>
          <w:sz w:val="20"/>
          <w:szCs w:val="20"/>
        </w:rPr>
        <w:t xml:space="preserve"> </w:t>
      </w:r>
    </w:p>
    <w:p w14:paraId="3916489F" w14:textId="77777777" w:rsidR="002F02FC" w:rsidRPr="009E3A67" w:rsidRDefault="002A7C29" w:rsidP="008D2676">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r>
      <w:r w:rsidR="008D2676" w:rsidRPr="009E3A67">
        <w:rPr>
          <w:rFonts w:ascii="Times New Roman" w:hAnsi="Times New Roman" w:cs="Times New Roman"/>
          <w:sz w:val="24"/>
          <w:szCs w:val="24"/>
        </w:rPr>
        <w:t>Desse modo, o autor (Pereira, 2022) coloca em questão como sujeitos negros eram colocados como sinônimo de sujeitos em condição de não existência, ou seja, pessoas capazes de serem objetificadas e manipuladas, bem como de terem seus corpos submetidos as demandas e exigências do Período Colonial.</w:t>
      </w:r>
    </w:p>
    <w:p w14:paraId="26ECD53A" w14:textId="3CDF99E5" w:rsidR="002A7C29" w:rsidRPr="009E3A67" w:rsidRDefault="002A7C29" w:rsidP="002A7C29">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Durante a construção de narrativas históricas tradicionais, muitas vezes, </w:t>
      </w:r>
      <w:r w:rsidR="00B1099D" w:rsidRPr="009E3A67">
        <w:rPr>
          <w:rFonts w:ascii="Times New Roman" w:hAnsi="Times New Roman" w:cs="Times New Roman"/>
          <w:sz w:val="24"/>
          <w:szCs w:val="24"/>
        </w:rPr>
        <w:t>a relevância e a contribuição de sujeitos negros na formação do país foram</w:t>
      </w:r>
      <w:r w:rsidRPr="009E3A67">
        <w:rPr>
          <w:rFonts w:ascii="Times New Roman" w:hAnsi="Times New Roman" w:cs="Times New Roman"/>
          <w:sz w:val="24"/>
          <w:szCs w:val="24"/>
        </w:rPr>
        <w:t xml:space="preserve"> </w:t>
      </w:r>
      <w:r w:rsidR="008A7B7A" w:rsidRPr="009E3A67">
        <w:rPr>
          <w:rFonts w:ascii="Times New Roman" w:hAnsi="Times New Roman" w:cs="Times New Roman"/>
          <w:sz w:val="24"/>
          <w:szCs w:val="24"/>
        </w:rPr>
        <w:t>omissas</w:t>
      </w:r>
      <w:r w:rsidRPr="009E3A67">
        <w:rPr>
          <w:rFonts w:ascii="Times New Roman" w:hAnsi="Times New Roman" w:cs="Times New Roman"/>
          <w:sz w:val="24"/>
          <w:szCs w:val="24"/>
        </w:rPr>
        <w:t xml:space="preserve"> e, quando representadas, eram retratadas de maneira estereotipada e subalterna, visto que a narrativa histórica era conduzida pela figura do dominador. </w:t>
      </w:r>
    </w:p>
    <w:p w14:paraId="66BCE743" w14:textId="77777777" w:rsidR="002A7C29" w:rsidRPr="009E3A67" w:rsidRDefault="002A7C29" w:rsidP="002A7C29">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Com isso, </w:t>
      </w:r>
    </w:p>
    <w:p w14:paraId="7800E355" w14:textId="70F4C121" w:rsidR="002A7C29" w:rsidRPr="009E3A67" w:rsidRDefault="002A7C29" w:rsidP="002A7C29">
      <w:pPr>
        <w:tabs>
          <w:tab w:val="left" w:pos="851"/>
        </w:tabs>
        <w:spacing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Para Almeida (2019), não é possível compreender o racismo sem pensar seu funcionamento a partir das estruturas estatais, pois é por meio do Estado que se opera com a classificação e divisão de pessoas. A ideologia nacionalista, por sua vez, apresenta-se como funcional à tentativa de reconstruir uma identidade comum numa tentativa de apagar os conflitos entre os diferentes grupos/classes e as contradições do sistema capitalista, o qual, ao longo do tempo, sofistica suas estratégias e técnicas de reprodução. Como exemplo disso, o autor aponta os limites da representatividade em instituições majoritariamente compostas por pessoas brancas; o exercício disciplinar e regulamentador da vida ou de sua suspensão; e a reprodução de um sistema burocrático mortífero, que se diz exceção, mas que estabelece como política o aniquilamento da população negra brasileira (BAKHTINIANA, 2021</w:t>
      </w:r>
      <w:r w:rsidR="00AE13D0" w:rsidRPr="009E3A67">
        <w:rPr>
          <w:rFonts w:ascii="Times New Roman" w:hAnsi="Times New Roman" w:cs="Times New Roman"/>
          <w:sz w:val="20"/>
          <w:szCs w:val="20"/>
        </w:rPr>
        <w:t>:</w:t>
      </w:r>
      <w:r w:rsidRPr="009E3A67">
        <w:rPr>
          <w:rFonts w:ascii="Times New Roman" w:hAnsi="Times New Roman" w:cs="Times New Roman"/>
          <w:sz w:val="20"/>
          <w:szCs w:val="20"/>
        </w:rPr>
        <w:t>187)</w:t>
      </w:r>
      <w:r w:rsidR="00B1099D" w:rsidRPr="009E3A67">
        <w:rPr>
          <w:rFonts w:ascii="Times New Roman" w:hAnsi="Times New Roman" w:cs="Times New Roman"/>
          <w:sz w:val="20"/>
          <w:szCs w:val="20"/>
        </w:rPr>
        <w:t>.</w:t>
      </w:r>
    </w:p>
    <w:p w14:paraId="551E2698" w14:textId="3F40804D" w:rsidR="002A7C29" w:rsidRPr="009E3A67" w:rsidRDefault="002A7C29" w:rsidP="005304E3">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estrutura racista brasileira, por sua vez, atribui suas forças através da reprodução de tradições, mitos, provérbios e manifestações artísticas por meio da ótica dominante. De modo a disseminar uma identidade díspar a real construção social e epistemológica do país. A exemplo disso, o folclore brasileiro é um reflexo da diversidade cultural brasileira. A partir dessa perspectiva, dois autores (SOUZA; GUASTI, 2018) argumentam que</w:t>
      </w:r>
      <w:r w:rsidR="002458C4" w:rsidRPr="009E3A67">
        <w:rPr>
          <w:rFonts w:ascii="Times New Roman" w:hAnsi="Times New Roman" w:cs="Times New Roman"/>
          <w:sz w:val="24"/>
          <w:szCs w:val="24"/>
        </w:rPr>
        <w:t>:</w:t>
      </w:r>
      <w:r w:rsidRPr="009E3A67">
        <w:rPr>
          <w:rFonts w:ascii="Times New Roman" w:hAnsi="Times New Roman" w:cs="Times New Roman"/>
          <w:sz w:val="24"/>
          <w:szCs w:val="24"/>
        </w:rPr>
        <w:t xml:space="preserve"> </w:t>
      </w:r>
    </w:p>
    <w:p w14:paraId="00BB72A9" w14:textId="003EE094" w:rsidR="002A7C29" w:rsidRPr="009E3A67" w:rsidRDefault="002A7C29" w:rsidP="005304E3">
      <w:pPr>
        <w:tabs>
          <w:tab w:val="left" w:pos="851"/>
        </w:tabs>
        <w:spacing w:after="0"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Os negros escravizados eram forçados a trabalhar para os senhores de engenho, obrigados a abandonar suas crenças e hábitos culturais e encaravam uma realidade dura. Na culinária, as negras preparavam a feijoada, utilizavam o azeite de dendê, e até a colher de pau foi introduzida como um instrumento. A capoeira, conhecida por alguns como dança, mas também uma luta, hoje é uma referência do Brasil. Nossa língua, também recebeu forte influência africana, como por exemplo: fubá, macaco, moleque, e tantas outras palavras. Nossa vestimenta é colorida e cheia de detalhes, colares, etc. Na música, uma infinidade de sons e instrumentos musicais como o berimbau, o agogô, o afoxé entre outros. Na dança, em quase todos os estados deste nosso país existe uma influência da cultura africana; percebe-se então, que ela está bem enraizada em nossos costumes, em nosso dia a dia</w:t>
      </w:r>
      <w:r w:rsidR="00B1099D" w:rsidRPr="009E3A67">
        <w:rPr>
          <w:rFonts w:ascii="Times New Roman" w:hAnsi="Times New Roman" w:cs="Times New Roman"/>
          <w:sz w:val="20"/>
          <w:szCs w:val="20"/>
        </w:rPr>
        <w:t xml:space="preserve"> </w:t>
      </w:r>
      <w:r w:rsidRPr="009E3A67">
        <w:rPr>
          <w:rFonts w:ascii="Times New Roman" w:hAnsi="Times New Roman" w:cs="Times New Roman"/>
          <w:sz w:val="20"/>
          <w:szCs w:val="20"/>
        </w:rPr>
        <w:t>(SOUZA; GUASTI, 2018)</w:t>
      </w:r>
      <w:r w:rsidR="00B1099D" w:rsidRPr="009E3A67">
        <w:rPr>
          <w:rFonts w:ascii="Times New Roman" w:hAnsi="Times New Roman" w:cs="Times New Roman"/>
          <w:sz w:val="20"/>
          <w:szCs w:val="20"/>
        </w:rPr>
        <w:t>.</w:t>
      </w:r>
      <w:r w:rsidRPr="009E3A67">
        <w:rPr>
          <w:rFonts w:ascii="Times New Roman" w:hAnsi="Times New Roman" w:cs="Times New Roman"/>
          <w:sz w:val="20"/>
          <w:szCs w:val="20"/>
        </w:rPr>
        <w:t xml:space="preserve"> </w:t>
      </w:r>
    </w:p>
    <w:p w14:paraId="322A5DEA" w14:textId="77777777" w:rsidR="002A7C29" w:rsidRPr="009E3A67" w:rsidRDefault="002A7C29" w:rsidP="00346C73">
      <w:pPr>
        <w:tabs>
          <w:tab w:val="left" w:pos="851"/>
        </w:tabs>
        <w:spacing w:before="24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O folclore nacional, por sua vez, simboliza o primórdio de um processo investigativo e restaurativo das origens e práticas negras, mestiças e indígenas no país. Assim, se tornou evidente a necessidade de honrar e valorizar a riqueza e a diversidade de manifestações, ritos, mitos e costumes nacionais.</w:t>
      </w:r>
    </w:p>
    <w:p w14:paraId="1E61AD68" w14:textId="77777777" w:rsidR="002A7C29" w:rsidRPr="009E3A67" w:rsidRDefault="002A7C29" w:rsidP="00B1099D">
      <w:pPr>
        <w:tabs>
          <w:tab w:val="left" w:pos="851"/>
        </w:tabs>
        <w:spacing w:after="0" w:line="240" w:lineRule="auto"/>
        <w:jc w:val="both"/>
        <w:rPr>
          <w:rFonts w:ascii="Times New Roman" w:hAnsi="Times New Roman" w:cs="Times New Roman"/>
          <w:b/>
          <w:sz w:val="24"/>
          <w:szCs w:val="24"/>
        </w:rPr>
      </w:pPr>
    </w:p>
    <w:p w14:paraId="24463421" w14:textId="41CA6BEA" w:rsidR="002A7C29" w:rsidRPr="009E3A67" w:rsidRDefault="005304E3" w:rsidP="00B1099D">
      <w:pPr>
        <w:tabs>
          <w:tab w:val="left" w:pos="851"/>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B1099D" w:rsidRPr="009E3A67">
        <w:rPr>
          <w:rFonts w:ascii="Times New Roman" w:hAnsi="Times New Roman" w:cs="Times New Roman"/>
          <w:b/>
          <w:sz w:val="24"/>
          <w:szCs w:val="24"/>
        </w:rPr>
        <w:t xml:space="preserve"> </w:t>
      </w:r>
      <w:r w:rsidR="002A7C29" w:rsidRPr="009E3A67">
        <w:rPr>
          <w:rFonts w:ascii="Times New Roman" w:hAnsi="Times New Roman" w:cs="Times New Roman"/>
          <w:b/>
          <w:sz w:val="24"/>
          <w:szCs w:val="24"/>
        </w:rPr>
        <w:t xml:space="preserve">REGIMES DE COERÇÃO: COMO O SISTEMA PEDAGÓGICO BRASILEIRO REPRODUZ DESIGUALDADES E COMO AGE PARA REVERTÊ-LAS? </w:t>
      </w:r>
    </w:p>
    <w:p w14:paraId="73BFA920" w14:textId="77777777" w:rsidR="00B1099D" w:rsidRPr="009E3A67" w:rsidRDefault="00B1099D" w:rsidP="00B1099D">
      <w:pPr>
        <w:tabs>
          <w:tab w:val="left" w:pos="851"/>
        </w:tabs>
        <w:spacing w:after="0" w:line="240" w:lineRule="auto"/>
        <w:jc w:val="both"/>
        <w:rPr>
          <w:rFonts w:ascii="Times New Roman" w:hAnsi="Times New Roman" w:cs="Times New Roman"/>
          <w:b/>
          <w:sz w:val="24"/>
          <w:szCs w:val="24"/>
        </w:rPr>
      </w:pPr>
    </w:p>
    <w:p w14:paraId="344AA0CE" w14:textId="77777777" w:rsidR="002A7C29" w:rsidRPr="009E3A67" w:rsidRDefault="002A7C29" w:rsidP="002A7C29">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Como argumentado anteriormente, a cultura brasileira foi construída a partir da assimilação mútua de culturas consideradas historicamente “primitivas” pelos colonizadores europeus, como também pela união dos próprios costumes do dominador. No contexto do Manifesto Antropofágico (ANDRADE, 1976), em vez de ser passivamente influenciado pela cultura europeia, o Brasil deve "devorar" influências externas, transformá-las de acordo com sua própria realidade e identidade e criar algo a partir delas. </w:t>
      </w:r>
    </w:p>
    <w:p w14:paraId="2E07D39E" w14:textId="53FCE6BD" w:rsidR="002A7C29" w:rsidRPr="009E3A67" w:rsidRDefault="002A7C29" w:rsidP="002A7C29">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Le Bon (1980), em sua obra “Psicologia das Multidões”, comenta o modo que “as grandes massas, quando unidas, dissipam seu caráter individual e se tornam imprescindíveis, irracionais, sugestionáveis e impulsivas". De forma a conduzir a um processo de “adestramento” biopsicossocial, haja vista seu caráter de desterritorialização e assujeitamento de toda construção de um povo. A princípio, esses grupos dotados de emoções primitivas, medos e desejos, são submetidos a regimes de coerção que utilizam de períodos de crise econômica, social ou política para cativar pessoas que tendem a se sentir inseguras e frustradas com a falta de perspectivas. A exemplo, a Segunda Guerra Mundial, ocorrida no período de 1939 a 1945 (KEEGAN, 2015), foi marcada pela ascensão de regimes nazifacistas que se aproveitaram d</w:t>
      </w:r>
      <w:r w:rsidR="004C1362" w:rsidRPr="009E3A67">
        <w:rPr>
          <w:rFonts w:ascii="Times New Roman" w:hAnsi="Times New Roman" w:cs="Times New Roman"/>
          <w:sz w:val="24"/>
          <w:szCs w:val="24"/>
        </w:rPr>
        <w:t>os</w:t>
      </w:r>
      <w:r w:rsidRPr="009E3A67">
        <w:rPr>
          <w:rFonts w:ascii="Times New Roman" w:hAnsi="Times New Roman" w:cs="Times New Roman"/>
          <w:sz w:val="24"/>
          <w:szCs w:val="24"/>
        </w:rPr>
        <w:t xml:space="preserve"> sentimentos de insegurança e frustração canalizados pela multidão em prol da culpabilização de um outro: judeus, ciganos, negros, homossexuais, deficientes e todos os outros grupos de sujeitos que destoam da idealização desse regime e de muitos ainda presentes na realidade. Assim, os indivíduos substituem o “eu” por “nós”, passando por mecanismos totalitários que os oferecem falsos consensos, como é marcado pela atualidade através da algoritmização da vida promovida por tecnologias midiáticas de dominação. </w:t>
      </w:r>
    </w:p>
    <w:p w14:paraId="7D4E2F3F" w14:textId="77777777" w:rsidR="002A7C29" w:rsidRPr="009E3A67" w:rsidRDefault="002A7C29" w:rsidP="002A7C29">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A ascensão de movimentos fascistas de extrema direita, por exemplo, representa o indício da retomada de princípios autoritários, conservadores e discriminatórios. No Brasil, o impacto desses movimentos tem sido visível com o fortalecimento de discursos políticos que defendem o retorno a uma "ordem", que, frequentemente, negam ou minimizam as conquistas democráticas e os direitos civis. À vista disso, o fenômeno exponencial de manipulação das massas é reflexo de um mundo globalizado</w:t>
      </w:r>
      <w:r w:rsidRPr="009E3A67">
        <w:rPr>
          <w:rStyle w:val="Refdenotaderodap"/>
          <w:rFonts w:ascii="Times New Roman" w:hAnsi="Times New Roman" w:cs="Times New Roman"/>
          <w:sz w:val="24"/>
          <w:szCs w:val="24"/>
        </w:rPr>
        <w:footnoteReference w:id="128"/>
      </w:r>
      <w:r w:rsidRPr="009E3A67">
        <w:rPr>
          <w:rFonts w:ascii="Times New Roman" w:hAnsi="Times New Roman" w:cs="Times New Roman"/>
          <w:sz w:val="24"/>
          <w:szCs w:val="24"/>
        </w:rPr>
        <w:t>, que utiliza de recursos do conservadorismo moralizante para a construção de uma identidade nacional instável, polarizada e desigual.</w:t>
      </w:r>
    </w:p>
    <w:p w14:paraId="3B777A16" w14:textId="77777777" w:rsidR="002A7C29" w:rsidRPr="009E3A67" w:rsidRDefault="002A7C29" w:rsidP="002A7C29">
      <w:pPr>
        <w:tabs>
          <w:tab w:val="left" w:pos="851"/>
        </w:tabs>
        <w:spacing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O sistema pedagógico brasileiro em contato com a realidade sócio-política atual, quando perpassado pelos movimentos extremistas, se torna refém de contradições. Portanto faz-se necessário nomear e fundamentar que a influência interna e externa dominante, que hegemonizou mesmo quando sincretizada pela cultura do subalternizado contracolonialista influi em um processo de coerção que se opõe à pluralidade de sujeitos e seus saberes. A princípio, em algumas regiões do Brasil, há também tentativas de revogar leis que garantem o ensino da história afro-pindorâmicas, e de censurar ou simplificar as discussões sobre racismo estrutural, escravidão e desigualdade social, o que reflete mais uma tentativa de silenciar ou minimizar as vozes negras e suas narrativas. Com isso, de acordo com a Lei nº 9.394/1996, que estabelece diretrizes e bases da educação nacional, o Art. 26-A determina que </w:t>
      </w:r>
    </w:p>
    <w:p w14:paraId="71937954" w14:textId="77777777" w:rsidR="002A7C29" w:rsidRPr="009E3A67" w:rsidRDefault="002A7C29" w:rsidP="002102D9">
      <w:pPr>
        <w:tabs>
          <w:tab w:val="left" w:pos="851"/>
        </w:tabs>
        <w:spacing w:after="0"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Os estabelecimentos de ensino fundamental e médio, tanto públicos quanto privados, se torna obrigatória a inclusão do ensino sobre História e Cultura Afro-Brasileira. O conteúdo programático deve abordar a História da África e dos Africanos, a luta dos negros no Brasil, a cultura negra brasileira e o negro na formação da sociedade nacional, destacando as contribuições nas áreas social, econômica e política da história do Brasil (BRASIL, 1996)</w:t>
      </w:r>
      <w:r w:rsidR="00CF6E98" w:rsidRPr="009E3A67">
        <w:rPr>
          <w:rFonts w:ascii="Times New Roman" w:hAnsi="Times New Roman" w:cs="Times New Roman"/>
          <w:sz w:val="20"/>
          <w:szCs w:val="20"/>
        </w:rPr>
        <w:t>.</w:t>
      </w:r>
    </w:p>
    <w:p w14:paraId="545FBFCF" w14:textId="77777777" w:rsidR="002102D9" w:rsidRPr="009E3A67" w:rsidRDefault="002102D9" w:rsidP="002102D9">
      <w:pPr>
        <w:tabs>
          <w:tab w:val="left" w:pos="851"/>
        </w:tabs>
        <w:spacing w:after="0" w:line="240" w:lineRule="auto"/>
        <w:ind w:left="2268"/>
        <w:jc w:val="both"/>
        <w:rPr>
          <w:rFonts w:ascii="Times New Roman" w:hAnsi="Times New Roman" w:cs="Times New Roman"/>
          <w:sz w:val="20"/>
          <w:szCs w:val="20"/>
        </w:rPr>
      </w:pPr>
    </w:p>
    <w:p w14:paraId="41A27577" w14:textId="77777777" w:rsidR="002A7C29" w:rsidRPr="009E3A67" w:rsidRDefault="002A7C29" w:rsidP="002A7C29">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O atual modelo de ensino assegura a existência de garantias legais acerca da transmissão de epistemes ancestrais. Contudo, é preciso compreender que o Brasil foi um país fundado a partir de mecanismos totalitários, que introjetaram lógicas de dominação e de dissimulação de identidades díspares a realidade eurocêntrica burguesa. De forma que para eficazmente reverter, pelo menos em parte, práticas coercivas, é preciso que os espaços sejam transformados e equitativamente acessados. </w:t>
      </w:r>
    </w:p>
    <w:p w14:paraId="10812A14" w14:textId="77777777" w:rsidR="002A7C29" w:rsidRPr="009E3A67" w:rsidRDefault="002A7C29" w:rsidP="00766CFF">
      <w:pPr>
        <w:tabs>
          <w:tab w:val="left" w:pos="851"/>
        </w:tabs>
        <w:spacing w:after="0" w:line="240" w:lineRule="auto"/>
        <w:jc w:val="both"/>
        <w:rPr>
          <w:rFonts w:ascii="Times New Roman" w:hAnsi="Times New Roman" w:cs="Times New Roman"/>
          <w:b/>
          <w:sz w:val="24"/>
          <w:szCs w:val="24"/>
        </w:rPr>
      </w:pPr>
    </w:p>
    <w:p w14:paraId="4637FE8F" w14:textId="181BD873" w:rsidR="002A7C29" w:rsidRPr="009E3A67" w:rsidRDefault="005304E3" w:rsidP="002A7C29">
      <w:pPr>
        <w:tabs>
          <w:tab w:val="left" w:pos="85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CB7716" w:rsidRPr="009E3A67">
        <w:rPr>
          <w:rFonts w:ascii="Times New Roman" w:hAnsi="Times New Roman" w:cs="Times New Roman"/>
          <w:b/>
          <w:sz w:val="24"/>
          <w:szCs w:val="24"/>
        </w:rPr>
        <w:t>.</w:t>
      </w:r>
      <w:r>
        <w:rPr>
          <w:rFonts w:ascii="Times New Roman" w:hAnsi="Times New Roman" w:cs="Times New Roman"/>
          <w:b/>
          <w:sz w:val="24"/>
          <w:szCs w:val="24"/>
        </w:rPr>
        <w:t xml:space="preserve"> </w:t>
      </w:r>
      <w:r w:rsidR="002A7C29" w:rsidRPr="009E3A67">
        <w:rPr>
          <w:rFonts w:ascii="Times New Roman" w:hAnsi="Times New Roman" w:cs="Times New Roman"/>
          <w:b/>
          <w:sz w:val="24"/>
          <w:szCs w:val="24"/>
        </w:rPr>
        <w:t>CON</w:t>
      </w:r>
      <w:r w:rsidR="00DF4947">
        <w:rPr>
          <w:rFonts w:ascii="Times New Roman" w:hAnsi="Times New Roman" w:cs="Times New Roman"/>
          <w:b/>
          <w:sz w:val="24"/>
          <w:szCs w:val="24"/>
        </w:rPr>
        <w:t>SIDERAÇÕES FINAIS</w:t>
      </w:r>
    </w:p>
    <w:p w14:paraId="6D2D7DC0" w14:textId="77777777" w:rsidR="00346C73" w:rsidRPr="009E3A67" w:rsidRDefault="00346C73" w:rsidP="008D098C">
      <w:pPr>
        <w:tabs>
          <w:tab w:val="left" w:pos="851"/>
        </w:tabs>
        <w:spacing w:after="0" w:line="360" w:lineRule="auto"/>
        <w:ind w:firstLine="851"/>
        <w:jc w:val="both"/>
        <w:rPr>
          <w:rFonts w:ascii="Times New Roman" w:hAnsi="Times New Roman" w:cs="Times New Roman"/>
          <w:sz w:val="24"/>
          <w:szCs w:val="24"/>
        </w:rPr>
      </w:pPr>
      <w:r w:rsidRPr="009E3A67">
        <w:rPr>
          <w:rFonts w:ascii="Times New Roman" w:hAnsi="Times New Roman" w:cs="Times New Roman"/>
          <w:sz w:val="24"/>
          <w:szCs w:val="24"/>
        </w:rPr>
        <w:t xml:space="preserve">É preciso que o sistema pedagógico seja ferramenta decolonial para romper com as vicissitudes dos sujeitos racial e economicamente marcados e legitimar saberes históricos e epistêmicos de grupos afrodiaspóricos. </w:t>
      </w:r>
    </w:p>
    <w:p w14:paraId="6BDE1B99" w14:textId="77777777" w:rsidR="002102D9" w:rsidRPr="009E3A67" w:rsidRDefault="002102D9" w:rsidP="00346C73">
      <w:pPr>
        <w:tabs>
          <w:tab w:val="left" w:pos="851"/>
        </w:tabs>
        <w:spacing w:after="0" w:line="360" w:lineRule="auto"/>
        <w:jc w:val="both"/>
        <w:rPr>
          <w:rFonts w:ascii="Times New Roman" w:hAnsi="Times New Roman" w:cs="Times New Roman"/>
          <w:sz w:val="24"/>
          <w:szCs w:val="24"/>
        </w:rPr>
      </w:pPr>
    </w:p>
    <w:p w14:paraId="053E2BBC" w14:textId="03B1316D" w:rsidR="00346C73" w:rsidRPr="009E3A67" w:rsidRDefault="00346C73" w:rsidP="00346C73">
      <w:pPr>
        <w:tabs>
          <w:tab w:val="left" w:pos="851"/>
        </w:tabs>
        <w:spacing w:line="240" w:lineRule="auto"/>
        <w:ind w:left="2268"/>
        <w:jc w:val="both"/>
        <w:rPr>
          <w:rFonts w:ascii="Times New Roman" w:hAnsi="Times New Roman" w:cs="Times New Roman"/>
          <w:sz w:val="20"/>
          <w:szCs w:val="20"/>
        </w:rPr>
      </w:pPr>
      <w:r w:rsidRPr="009E3A67">
        <w:rPr>
          <w:rFonts w:ascii="Times New Roman" w:hAnsi="Times New Roman" w:cs="Times New Roman"/>
          <w:sz w:val="20"/>
          <w:szCs w:val="20"/>
        </w:rPr>
        <w:t>Nesse sentido, o estudo sobre as vissitudes do negro brasileiro em ascensão social levou-nos, incoercivelmente, a refletir sobre a violência. A violência parece-nos a pedra de toque, o núcleo central do problema abordado. Ser negro é ser violentado de forma constante, contínua e cruel, sem pausa ou repouso, por uma dupla injunção: a de encarnar o corpo e os ideais de Ego do sujeito branco e a de recursar, negar e anular a presença do corpo negro (SOUZA, 1983</w:t>
      </w:r>
      <w:r w:rsidR="00766CFF" w:rsidRPr="009E3A67">
        <w:rPr>
          <w:rFonts w:ascii="Times New Roman" w:hAnsi="Times New Roman" w:cs="Times New Roman"/>
          <w:sz w:val="20"/>
          <w:szCs w:val="20"/>
        </w:rPr>
        <w:t>:</w:t>
      </w:r>
      <w:r w:rsidRPr="009E3A67">
        <w:rPr>
          <w:rFonts w:ascii="Times New Roman" w:hAnsi="Times New Roman" w:cs="Times New Roman"/>
          <w:sz w:val="20"/>
          <w:szCs w:val="20"/>
        </w:rPr>
        <w:t>2)</w:t>
      </w:r>
      <w:r w:rsidR="002102D9" w:rsidRPr="009E3A67">
        <w:rPr>
          <w:rFonts w:ascii="Times New Roman" w:hAnsi="Times New Roman" w:cs="Times New Roman"/>
          <w:sz w:val="20"/>
          <w:szCs w:val="20"/>
        </w:rPr>
        <w:t>.</w:t>
      </w:r>
    </w:p>
    <w:p w14:paraId="3D207DE0" w14:textId="77777777" w:rsidR="00346C73" w:rsidRPr="009E3A67" w:rsidRDefault="00346C73" w:rsidP="00346C73">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 xml:space="preserve"> </w:t>
      </w:r>
      <w:r w:rsidRPr="009E3A67">
        <w:rPr>
          <w:rFonts w:ascii="Times New Roman" w:hAnsi="Times New Roman" w:cs="Times New Roman"/>
          <w:sz w:val="24"/>
          <w:szCs w:val="24"/>
        </w:rPr>
        <w:tab/>
        <w:t>Como debatido anteriormente, a identidade brasileira passou por um falso processo de unificação, a partir da qual não considerava a pluralidade ancestral do país. Nesse sentido, o Brasil passou a produzir - e reproduzir - mecanismos de dominação e controle, como explicitados por Souza (1983) e Prata (2005) mascarados de lógicas pedagógicas de subjetivação dos indivíduos. Com isso, o processo de “adestramento” biopsicossocial corroborou para o desvio e o esvaziamento de características constituintes, como linguagem, tradições, rituais espirituais, estruturas organizacionais e qualquer hábito ou expressão formadora desses sujeitos (SOUZA, 1983).</w:t>
      </w:r>
    </w:p>
    <w:p w14:paraId="2289C528" w14:textId="77777777" w:rsidR="00346C73" w:rsidRPr="009E3A67" w:rsidRDefault="00346C73" w:rsidP="00346C73">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O atual sistema de ensino brasileiro é - e tem sido - refém das tecnologias de controle da vida e da morte dos sujeitos, moldes de uma sociedade endereçada aos padrões e exigências patriarcais, brancas, econômicas e heteronormativas, tais quais perduram desde o Período Colonial. Nesse sentido, a biopolítica e a necropolítica atuam por meio de tecnologias de extermínio, formuladas a partir das ações e inações do Estado (MIRANDA, 2021), que garantem quais grupos devem ascender socialmente e quais serão submetidos a um processo cíclico e contínuo de subalternização - como orientado pelo pacto da branquitude (BENTO, 2022). </w:t>
      </w:r>
    </w:p>
    <w:p w14:paraId="1A5D4DA6" w14:textId="77777777" w:rsidR="00346C73" w:rsidRPr="009E3A67" w:rsidRDefault="00346C73" w:rsidP="00346C73">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Desse modo, a educação pode atuar como dispositivo decolonial de combate às desigualdades, especialmente aquelas que afetam identidades plurais apagadas no processo de constituição do Brasil. Ao questionar a norma vigente e os padrões de conduta que incitam meios de dominação e controle de grupos desfavorecidos historicamente e, a partir disso, descolonizar os saberes dominantes, a educação é capaz de promover o reconhecimento das múltiplas vertentes da formação histórica brasileira, de modo a viabilizar o ensino e a aprendizagem de epistemes de grupos ancestrais. Ao incluir os conhecimentos, culturas e cosmovisões afro-pindorâmicos, a educação atua como</w:t>
      </w:r>
      <w:r w:rsidRPr="009E3A67">
        <w:rPr>
          <w:rFonts w:ascii="Times New Roman" w:hAnsi="Times New Roman" w:cs="Times New Roman"/>
        </w:rPr>
        <w:t xml:space="preserve"> </w:t>
      </w:r>
      <w:r w:rsidRPr="009E3A67">
        <w:rPr>
          <w:rFonts w:ascii="Times New Roman" w:hAnsi="Times New Roman" w:cs="Times New Roman"/>
          <w:sz w:val="24"/>
          <w:szCs w:val="24"/>
        </w:rPr>
        <w:t xml:space="preserve">transformadora de espaços limitados pelas estruturas de poder. Portanto, faz-se necessário que vozes veladas e aprisionadas entre o silenciamento e as novas tentativas contemporâneas de expressão, continuem atuando no processo de resistência em prol do alcance de espaços de fala melhor qualificados. </w:t>
      </w:r>
    </w:p>
    <w:p w14:paraId="0878A30A" w14:textId="77777777" w:rsidR="00346C73" w:rsidRPr="009E3A67" w:rsidRDefault="00346C73" w:rsidP="00346C73">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Como comentado anteriormente, a necropolítica, conceituado por Achille Mbembe (2019) como uma política de extermínio que age através da manipulação ideológica e do consenso de que determinados grupos podem - e devem - ser subalternizados (MIRANDA, 2021), evidencia o caráter emancipatório da educação, visto que é através dela que se é possível construir ferramentas críticas que se chocam com a ignorância, tão requisitada pelos movimentos de alienação.</w:t>
      </w:r>
    </w:p>
    <w:p w14:paraId="17135FEC" w14:textId="77777777" w:rsidR="00346C73" w:rsidRPr="009E3A67" w:rsidRDefault="00346C73" w:rsidP="00346C73">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A reestruturação do processo de ensino-aprendizagem torna capaz não apenas o rompimento com as lógicas de estruturas dominantes, conservadoras e autoritárias, bem como a oferta para a sociedade, especialmente destinado a sujeitos marcados, oportunidade para pensar sobre os preconceitos, desigualdades e discriminações difundidas. Nesse sentido, transformar espaços é perceber que o silenciamento histórico e epistêmico dos plurais saberes ancestrais é uma continuidade das práticas coloniais e escravocratas, que ainda persistem na realidade brasileira. O reflexo dessa transformação se deu, por exemplo, por meio de ações na Assembleia Nacional Constituinte de 1988, que foi marcada pela forte presença de figuras representantes dos movimentos indígenas - Ailton Krenak - e negros - Movimento Negro Unificado (MNU) -, que lutaram para garantir a inclusão de direitos, como: a proteção de direitos territoriais e de reconhecimento da cultura indígena; a igualdade racial, a punição de crimes raciais e a proteção dos direitos humanos. </w:t>
      </w:r>
    </w:p>
    <w:p w14:paraId="5D53976E" w14:textId="77777777" w:rsidR="00346C73" w:rsidRPr="009E3A67" w:rsidRDefault="00346C73" w:rsidP="00346C73">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Portanto, assim, enquanto o sistema de ensino for parte precursora de mecanismos de controle e disciplinarização alienada dos corpos e mentes civis, grupos negros continuarão sendo vítimas de extermínio e a construção de uma sociedade que lute pela resistência e valorização da diversidade histórica, cultural e epistemológica será apenas um vislumbre de uma utopia. </w:t>
      </w:r>
    </w:p>
    <w:p w14:paraId="32ECC960" w14:textId="77777777" w:rsidR="00346C73" w:rsidRPr="009E3A67" w:rsidRDefault="00346C73" w:rsidP="00346C73">
      <w:pPr>
        <w:tabs>
          <w:tab w:val="left" w:pos="851"/>
        </w:tabs>
        <w:spacing w:after="0"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O modelo educacional vigente no Brasil, especialmente no que diz respeito ao silenciamento das diversas contribuições na construção da identidade nacional, reflete um legado histórico marcado pelo extermínio de grupos racialmente e economicamente vulnerabilizados. Diante disso, o presente artigo propõe, por meio de uma análise histórico-bibliográfica, a necessidade de reconhecer uma dicotomia na unidade nacional, buscando identificar as múltiplas minorias que formam o país e distinguir o que pertence ao pensamento dos povos originários do que advém do ideário do homem branco. Para tanto, é fundamental discutir os mecanismos pedagógicos ocultos de controle que sustentam a ascensão de regimes de extermínio, com o objetivo de resgatar e dar visibilidade a histórias e saberes historicamente oprimidos. Além disso, destaca-se a educação como o principal instrumento para a transformação social, capaz de tanto produzir e reproduzir desigualdades quanto de revertê-las. </w:t>
      </w:r>
    </w:p>
    <w:p w14:paraId="5439120D" w14:textId="77777777" w:rsidR="00346C73" w:rsidRPr="009E3A67" w:rsidRDefault="00346C73" w:rsidP="00845ECF">
      <w:pPr>
        <w:tabs>
          <w:tab w:val="left" w:pos="851"/>
        </w:tabs>
        <w:spacing w:line="360" w:lineRule="auto"/>
        <w:jc w:val="both"/>
        <w:rPr>
          <w:rFonts w:ascii="Times New Roman" w:hAnsi="Times New Roman" w:cs="Times New Roman"/>
          <w:sz w:val="24"/>
          <w:szCs w:val="24"/>
        </w:rPr>
      </w:pPr>
      <w:r w:rsidRPr="009E3A67">
        <w:rPr>
          <w:rFonts w:ascii="Times New Roman" w:hAnsi="Times New Roman" w:cs="Times New Roman"/>
          <w:sz w:val="24"/>
          <w:szCs w:val="24"/>
        </w:rPr>
        <w:tab/>
        <w:t xml:space="preserve">A pesquisa foi elaborada a partir de um viés metodológico histórico e dialético. Esses dados bibliográficos foram coletados de livros e de artigos em plataformas digitais, como Scielo e Google Acadêmico, a qual foram utilizadas palavras-chave, como: colonialidade, escravidão, racismo, necropolítica, identidade nacional, relações de poder e dominação, educação, decolonialidade. </w:t>
      </w:r>
    </w:p>
    <w:p w14:paraId="53A9FB0F" w14:textId="77777777" w:rsidR="00B37D1F" w:rsidRPr="009E3A67" w:rsidRDefault="00346C73" w:rsidP="00845ECF">
      <w:pPr>
        <w:tabs>
          <w:tab w:val="left" w:pos="851"/>
        </w:tabs>
        <w:spacing w:line="360" w:lineRule="auto"/>
        <w:jc w:val="both"/>
        <w:rPr>
          <w:rFonts w:ascii="Times New Roman" w:hAnsi="Times New Roman" w:cs="Times New Roman"/>
          <w:b/>
          <w:sz w:val="24"/>
          <w:szCs w:val="24"/>
        </w:rPr>
      </w:pPr>
      <w:r w:rsidRPr="009E3A67">
        <w:rPr>
          <w:rFonts w:ascii="Times New Roman" w:hAnsi="Times New Roman" w:cs="Times New Roman"/>
          <w:b/>
          <w:sz w:val="24"/>
          <w:szCs w:val="24"/>
        </w:rPr>
        <w:t xml:space="preserve">REFERÊNCIAS </w:t>
      </w:r>
    </w:p>
    <w:p w14:paraId="3B115E65" w14:textId="77777777" w:rsidR="00B37D1F" w:rsidRPr="008A7B7A" w:rsidRDefault="00346C73"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ALMEIDA, S. </w:t>
      </w:r>
      <w:r w:rsidRPr="008A7B7A">
        <w:rPr>
          <w:rFonts w:ascii="Times New Roman" w:hAnsi="Times New Roman" w:cs="Times New Roman"/>
          <w:i/>
          <w:sz w:val="24"/>
          <w:szCs w:val="24"/>
        </w:rPr>
        <w:t>Racismo estrutural</w:t>
      </w:r>
      <w:r w:rsidRPr="008A7B7A">
        <w:rPr>
          <w:rFonts w:ascii="Times New Roman" w:hAnsi="Times New Roman" w:cs="Times New Roman"/>
          <w:sz w:val="24"/>
          <w:szCs w:val="24"/>
        </w:rPr>
        <w:t xml:space="preserve">. São Paulo: Pólen, 2019. In: Bakhtiniana: Rev. Estud. Discurso. 2021. Disponível em: </w:t>
      </w:r>
      <w:hyperlink r:id="rId113" w:history="1">
        <w:r w:rsidR="00B37D1F" w:rsidRPr="008A7B7A">
          <w:rPr>
            <w:rStyle w:val="Hyperlink"/>
            <w:rFonts w:ascii="Times New Roman" w:hAnsi="Times New Roman" w:cs="Times New Roman"/>
            <w:sz w:val="24"/>
            <w:szCs w:val="24"/>
          </w:rPr>
          <w:t>https://doi.org/10.1590/2176-457349790</w:t>
        </w:r>
      </w:hyperlink>
      <w:r w:rsidRPr="008A7B7A">
        <w:rPr>
          <w:rFonts w:ascii="Times New Roman" w:hAnsi="Times New Roman" w:cs="Times New Roman"/>
          <w:sz w:val="24"/>
          <w:szCs w:val="24"/>
        </w:rPr>
        <w:t xml:space="preserve">. Acessado em: 14 de abril de 2025. </w:t>
      </w:r>
    </w:p>
    <w:p w14:paraId="245F0A68" w14:textId="77777777" w:rsidR="00B37D1F" w:rsidRPr="008A7B7A" w:rsidRDefault="00B37D1F" w:rsidP="008A7B7A">
      <w:pPr>
        <w:tabs>
          <w:tab w:val="left" w:pos="851"/>
        </w:tabs>
        <w:spacing w:after="0" w:line="240" w:lineRule="auto"/>
        <w:jc w:val="both"/>
        <w:rPr>
          <w:rFonts w:ascii="Times New Roman" w:hAnsi="Times New Roman" w:cs="Times New Roman"/>
          <w:sz w:val="24"/>
          <w:szCs w:val="24"/>
        </w:rPr>
      </w:pPr>
    </w:p>
    <w:p w14:paraId="6D1EF6B8" w14:textId="77777777" w:rsidR="00B37D1F" w:rsidRPr="008A7B7A" w:rsidRDefault="00346C73"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ALVES, G. </w:t>
      </w:r>
      <w:r w:rsidRPr="008A7B7A">
        <w:rPr>
          <w:rFonts w:ascii="Times New Roman" w:hAnsi="Times New Roman" w:cs="Times New Roman"/>
          <w:i/>
          <w:sz w:val="24"/>
          <w:szCs w:val="24"/>
        </w:rPr>
        <w:t>Marxismo, a alienação e o tempo histórico da barbárie social do capital</w:t>
      </w:r>
      <w:r w:rsidRPr="008A7B7A">
        <w:rPr>
          <w:rFonts w:ascii="Times New Roman" w:hAnsi="Times New Roman" w:cs="Times New Roman"/>
          <w:sz w:val="24"/>
          <w:szCs w:val="24"/>
        </w:rPr>
        <w:t xml:space="preserve">. 2013. Disponível em: </w:t>
      </w:r>
      <w:hyperlink r:id="rId114" w:history="1">
        <w:r w:rsidR="00B37D1F" w:rsidRPr="008A7B7A">
          <w:rPr>
            <w:rStyle w:val="Hyperlink"/>
            <w:rFonts w:ascii="Times New Roman" w:hAnsi="Times New Roman" w:cs="Times New Roman"/>
            <w:sz w:val="24"/>
            <w:szCs w:val="24"/>
          </w:rPr>
          <w:t>https://doi.org/10.1590/S1414-49802013000100006</w:t>
        </w:r>
      </w:hyperlink>
      <w:r w:rsidRPr="008A7B7A">
        <w:rPr>
          <w:rFonts w:ascii="Times New Roman" w:hAnsi="Times New Roman" w:cs="Times New Roman"/>
          <w:sz w:val="24"/>
          <w:szCs w:val="24"/>
        </w:rPr>
        <w:t xml:space="preserve">. Acessado em: 3 de maio de 2025. </w:t>
      </w:r>
    </w:p>
    <w:p w14:paraId="57EBE0DC" w14:textId="77777777" w:rsidR="00B37D1F" w:rsidRPr="008A7B7A" w:rsidRDefault="00B37D1F" w:rsidP="008A7B7A">
      <w:pPr>
        <w:pStyle w:val="PargrafodaLista"/>
        <w:tabs>
          <w:tab w:val="left" w:pos="851"/>
        </w:tabs>
        <w:spacing w:after="0" w:line="240" w:lineRule="auto"/>
        <w:ind w:left="0"/>
        <w:jc w:val="both"/>
        <w:rPr>
          <w:rFonts w:ascii="Times New Roman" w:hAnsi="Times New Roman" w:cs="Times New Roman"/>
          <w:sz w:val="24"/>
          <w:szCs w:val="24"/>
        </w:rPr>
      </w:pPr>
    </w:p>
    <w:p w14:paraId="0F1E470B" w14:textId="77777777" w:rsidR="00B37D1F" w:rsidRPr="008A7B7A" w:rsidRDefault="00346C73"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ANDRADE, O. </w:t>
      </w:r>
      <w:r w:rsidRPr="008A7B7A">
        <w:rPr>
          <w:rFonts w:ascii="Times New Roman" w:hAnsi="Times New Roman" w:cs="Times New Roman"/>
          <w:i/>
          <w:sz w:val="24"/>
          <w:szCs w:val="24"/>
        </w:rPr>
        <w:t>O manifesto antropófago</w:t>
      </w:r>
      <w:r w:rsidRPr="008A7B7A">
        <w:rPr>
          <w:rFonts w:ascii="Times New Roman" w:hAnsi="Times New Roman" w:cs="Times New Roman"/>
          <w:sz w:val="24"/>
          <w:szCs w:val="24"/>
        </w:rPr>
        <w:t xml:space="preserve">. In: TELES, G. M. Vanguarda européia e modernismo brasileiro: apresentação e crítica dos principais manifestos vanguardistas. 3ª ed. Petrópolis: Vozes, 1976. Disponível em: </w:t>
      </w:r>
      <w:hyperlink r:id="rId115" w:history="1">
        <w:r w:rsidR="00B37D1F" w:rsidRPr="008A7B7A">
          <w:rPr>
            <w:rStyle w:val="Hyperlink"/>
            <w:rFonts w:ascii="Times New Roman" w:hAnsi="Times New Roman" w:cs="Times New Roman"/>
            <w:sz w:val="24"/>
            <w:szCs w:val="24"/>
          </w:rPr>
          <w:t>https://www.ufrgs.br/cdrom/oandrade/oandrade.pdf</w:t>
        </w:r>
      </w:hyperlink>
      <w:r w:rsidRPr="008A7B7A">
        <w:rPr>
          <w:rFonts w:ascii="Times New Roman" w:hAnsi="Times New Roman" w:cs="Times New Roman"/>
          <w:sz w:val="24"/>
          <w:szCs w:val="24"/>
        </w:rPr>
        <w:t>. Acessado em: 13 de janeiro de 2025.</w:t>
      </w:r>
    </w:p>
    <w:p w14:paraId="179832C9" w14:textId="77777777" w:rsidR="00B37D1F" w:rsidRPr="008A7B7A" w:rsidRDefault="00B37D1F" w:rsidP="008A7B7A">
      <w:pPr>
        <w:tabs>
          <w:tab w:val="left" w:pos="851"/>
        </w:tabs>
        <w:spacing w:after="0" w:line="240" w:lineRule="auto"/>
        <w:jc w:val="both"/>
        <w:rPr>
          <w:rFonts w:ascii="Times New Roman" w:hAnsi="Times New Roman" w:cs="Times New Roman"/>
          <w:sz w:val="24"/>
          <w:szCs w:val="24"/>
        </w:rPr>
      </w:pPr>
    </w:p>
    <w:p w14:paraId="44E10EED" w14:textId="77777777" w:rsidR="00B37D1F" w:rsidRPr="008A7B7A" w:rsidRDefault="00346C73"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BENTO, C. </w:t>
      </w:r>
      <w:r w:rsidRPr="008A7B7A">
        <w:rPr>
          <w:rFonts w:ascii="Times New Roman" w:hAnsi="Times New Roman" w:cs="Times New Roman"/>
          <w:i/>
          <w:sz w:val="24"/>
          <w:szCs w:val="24"/>
        </w:rPr>
        <w:t>O Pacto da Branquitude.</w:t>
      </w:r>
      <w:r w:rsidRPr="008A7B7A">
        <w:rPr>
          <w:rFonts w:ascii="Times New Roman" w:hAnsi="Times New Roman" w:cs="Times New Roman"/>
          <w:sz w:val="24"/>
          <w:szCs w:val="24"/>
        </w:rPr>
        <w:t xml:space="preserve"> São Paulo: Companhia das Letras, 2020. </w:t>
      </w:r>
    </w:p>
    <w:p w14:paraId="09068600" w14:textId="77777777" w:rsidR="00B37D1F" w:rsidRPr="008A7B7A" w:rsidRDefault="00B37D1F" w:rsidP="008A7B7A">
      <w:pPr>
        <w:pStyle w:val="PargrafodaLista"/>
        <w:tabs>
          <w:tab w:val="left" w:pos="851"/>
        </w:tabs>
        <w:spacing w:after="0" w:line="240" w:lineRule="auto"/>
        <w:ind w:left="0"/>
        <w:jc w:val="both"/>
        <w:rPr>
          <w:rFonts w:ascii="Times New Roman" w:hAnsi="Times New Roman" w:cs="Times New Roman"/>
          <w:sz w:val="24"/>
          <w:szCs w:val="24"/>
        </w:rPr>
      </w:pPr>
    </w:p>
    <w:p w14:paraId="5A4F50B1" w14:textId="4B9A8B67" w:rsidR="00346C73" w:rsidRPr="008A7B7A" w:rsidRDefault="00346C73"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BERTOLINI, J. </w:t>
      </w:r>
      <w:r w:rsidRPr="008A7B7A">
        <w:rPr>
          <w:rFonts w:ascii="Times New Roman" w:hAnsi="Times New Roman" w:cs="Times New Roman"/>
          <w:i/>
          <w:sz w:val="24"/>
          <w:szCs w:val="24"/>
        </w:rPr>
        <w:t>O conceito de biopoder em Foucault</w:t>
      </w:r>
      <w:r w:rsidRPr="008A7B7A">
        <w:rPr>
          <w:rFonts w:ascii="Times New Roman" w:hAnsi="Times New Roman" w:cs="Times New Roman"/>
          <w:sz w:val="24"/>
          <w:szCs w:val="24"/>
        </w:rPr>
        <w:t>: apontamentos bibliográficos. Saberes: Natal, RN, v. 18, n. 3, 2018, p. 86-100. Disponível em:</w:t>
      </w:r>
      <w:r w:rsidR="00D95950" w:rsidRPr="008A7B7A">
        <w:rPr>
          <w:rFonts w:ascii="Times New Roman" w:hAnsi="Times New Roman" w:cs="Times New Roman"/>
          <w:sz w:val="24"/>
          <w:szCs w:val="24"/>
        </w:rPr>
        <w:t xml:space="preserve"> </w:t>
      </w:r>
      <w:hyperlink r:id="rId116" w:history="1">
        <w:r w:rsidR="00D95950" w:rsidRPr="008A7B7A">
          <w:rPr>
            <w:rStyle w:val="Hyperlink"/>
            <w:rFonts w:ascii="Times New Roman" w:hAnsi="Times New Roman" w:cs="Times New Roman"/>
            <w:sz w:val="24"/>
            <w:szCs w:val="24"/>
          </w:rPr>
          <w:t>https://periodicos.ufrn.br/saberes/article/view/15937</w:t>
        </w:r>
      </w:hyperlink>
      <w:r w:rsidRPr="008A7B7A">
        <w:rPr>
          <w:rFonts w:ascii="Times New Roman" w:hAnsi="Times New Roman" w:cs="Times New Roman"/>
          <w:sz w:val="24"/>
          <w:szCs w:val="24"/>
        </w:rPr>
        <w:t>. Acessado em: 22 de maio de 2025.</w:t>
      </w:r>
    </w:p>
    <w:p w14:paraId="2FD773F6" w14:textId="77777777" w:rsidR="00B37D1F" w:rsidRPr="008A7B7A" w:rsidRDefault="00B37D1F" w:rsidP="008A7B7A">
      <w:pPr>
        <w:pStyle w:val="PargrafodaLista"/>
        <w:tabs>
          <w:tab w:val="left" w:pos="851"/>
        </w:tabs>
        <w:spacing w:after="0" w:line="240" w:lineRule="auto"/>
        <w:ind w:left="0"/>
        <w:jc w:val="both"/>
        <w:rPr>
          <w:rFonts w:ascii="Times New Roman" w:hAnsi="Times New Roman" w:cs="Times New Roman"/>
          <w:sz w:val="24"/>
          <w:szCs w:val="24"/>
        </w:rPr>
      </w:pPr>
    </w:p>
    <w:p w14:paraId="77888027"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bCs/>
          <w:sz w:val="24"/>
          <w:szCs w:val="24"/>
        </w:rPr>
        <w:t>BRASIL</w:t>
      </w:r>
      <w:r w:rsidRPr="008A7B7A">
        <w:rPr>
          <w:rFonts w:ascii="Times New Roman" w:hAnsi="Times New Roman" w:cs="Times New Roman"/>
          <w:sz w:val="24"/>
          <w:szCs w:val="24"/>
        </w:rPr>
        <w:t xml:space="preserve">. </w:t>
      </w:r>
      <w:r w:rsidRPr="008A7B7A">
        <w:rPr>
          <w:rFonts w:ascii="Times New Roman" w:hAnsi="Times New Roman" w:cs="Times New Roman"/>
          <w:i/>
          <w:sz w:val="24"/>
          <w:szCs w:val="24"/>
        </w:rPr>
        <w:t>Lei nº 9.394, de 20 de dezembro de 1996</w:t>
      </w:r>
      <w:r w:rsidRPr="008A7B7A">
        <w:rPr>
          <w:rFonts w:ascii="Times New Roman" w:hAnsi="Times New Roman" w:cs="Times New Roman"/>
          <w:sz w:val="24"/>
          <w:szCs w:val="24"/>
        </w:rPr>
        <w:t xml:space="preserve">. Diário Oficial da União, Brasília, DF, 1996. Disponível em: </w:t>
      </w:r>
      <w:hyperlink r:id="rId117" w:history="1">
        <w:r w:rsidRPr="008A7B7A">
          <w:rPr>
            <w:rStyle w:val="Hyperlink"/>
            <w:rFonts w:ascii="Times New Roman" w:hAnsi="Times New Roman" w:cs="Times New Roman"/>
            <w:sz w:val="24"/>
            <w:szCs w:val="24"/>
          </w:rPr>
          <w:t>https://www.planalto.gov.br/ccivil_03/leis/l9394.htm</w:t>
        </w:r>
      </w:hyperlink>
      <w:r w:rsidRPr="008A7B7A">
        <w:rPr>
          <w:rFonts w:ascii="Times New Roman" w:hAnsi="Times New Roman" w:cs="Times New Roman"/>
          <w:sz w:val="24"/>
          <w:szCs w:val="24"/>
        </w:rPr>
        <w:t xml:space="preserve">. Acessado em: 16 de janeiro de 2025. </w:t>
      </w:r>
    </w:p>
    <w:p w14:paraId="7EA0EB4C" w14:textId="77777777" w:rsidR="002458C4" w:rsidRPr="008A7B7A" w:rsidRDefault="002458C4" w:rsidP="008A7B7A">
      <w:pPr>
        <w:pStyle w:val="PargrafodaLista"/>
        <w:spacing w:after="0" w:line="240" w:lineRule="auto"/>
        <w:ind w:left="0"/>
        <w:jc w:val="both"/>
        <w:rPr>
          <w:rFonts w:ascii="Times New Roman" w:hAnsi="Times New Roman" w:cs="Times New Roman"/>
          <w:sz w:val="24"/>
          <w:szCs w:val="24"/>
        </w:rPr>
      </w:pPr>
    </w:p>
    <w:p w14:paraId="7D4E2E2F" w14:textId="77777777" w:rsidR="00915785" w:rsidRPr="008A7B7A" w:rsidRDefault="002458C4"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Style w:val="Forte"/>
          <w:rFonts w:ascii="Times New Roman" w:hAnsi="Times New Roman" w:cs="Times New Roman"/>
          <w:b w:val="0"/>
          <w:sz w:val="24"/>
          <w:szCs w:val="24"/>
        </w:rPr>
        <w:t>BRASIL.</w:t>
      </w:r>
      <w:r w:rsidRPr="008A7B7A">
        <w:rPr>
          <w:rFonts w:ascii="Times New Roman" w:hAnsi="Times New Roman" w:cs="Times New Roman"/>
          <w:sz w:val="24"/>
          <w:szCs w:val="24"/>
        </w:rPr>
        <w:t xml:space="preserve"> Lei nº 10.639, de 9 de janeiro de 2003. Altera a Lei nº 9.394, de 20 de dezembro de 1996, para incluir no currículo oficial da Rede de Ensino a obrigatoriedade da temática “História e Cultura Afro-Brasileira”, e dá outras providências. Disponível em: </w:t>
      </w:r>
      <w:hyperlink r:id="rId118" w:history="1">
        <w:r w:rsidRPr="008A7B7A">
          <w:rPr>
            <w:rStyle w:val="Hyperlink"/>
            <w:rFonts w:ascii="Times New Roman" w:hAnsi="Times New Roman" w:cs="Times New Roman"/>
            <w:sz w:val="24"/>
            <w:szCs w:val="24"/>
          </w:rPr>
          <w:t>https://www.planalto.gov.br/ccivil_03/leis/2003/l10.639.htm</w:t>
        </w:r>
      </w:hyperlink>
      <w:r w:rsidRPr="008A7B7A">
        <w:rPr>
          <w:rFonts w:ascii="Times New Roman" w:hAnsi="Times New Roman" w:cs="Times New Roman"/>
          <w:sz w:val="24"/>
          <w:szCs w:val="24"/>
        </w:rPr>
        <w:t xml:space="preserve"> . Acesso em: </w:t>
      </w:r>
      <w:r w:rsidR="00915785" w:rsidRPr="008A7B7A">
        <w:rPr>
          <w:rFonts w:ascii="Times New Roman" w:hAnsi="Times New Roman" w:cs="Times New Roman"/>
          <w:sz w:val="24"/>
          <w:szCs w:val="24"/>
        </w:rPr>
        <w:t xml:space="preserve">16 de janeiro de 2025. </w:t>
      </w:r>
    </w:p>
    <w:p w14:paraId="4AA94590" w14:textId="3B4EAB53" w:rsidR="00B37D1F" w:rsidRPr="008A7B7A" w:rsidRDefault="00B37D1F" w:rsidP="008A7B7A">
      <w:pPr>
        <w:pStyle w:val="PargrafodaLista"/>
        <w:tabs>
          <w:tab w:val="left" w:pos="851"/>
        </w:tabs>
        <w:spacing w:after="0" w:line="240" w:lineRule="auto"/>
        <w:ind w:left="0"/>
        <w:jc w:val="both"/>
        <w:rPr>
          <w:rFonts w:ascii="Times New Roman" w:hAnsi="Times New Roman" w:cs="Times New Roman"/>
          <w:sz w:val="24"/>
          <w:szCs w:val="24"/>
        </w:rPr>
      </w:pPr>
    </w:p>
    <w:p w14:paraId="5ADE86A5"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CASTANHEIRA, M. A. A. F. [s. d. ] </w:t>
      </w:r>
      <w:r w:rsidRPr="008A7B7A">
        <w:rPr>
          <w:rFonts w:ascii="Times New Roman" w:hAnsi="Times New Roman" w:cs="Times New Roman"/>
          <w:i/>
          <w:sz w:val="24"/>
          <w:szCs w:val="24"/>
        </w:rPr>
        <w:t>A constituição do sujeito em Michel Foucault</w:t>
      </w:r>
      <w:r w:rsidRPr="008A7B7A">
        <w:rPr>
          <w:rFonts w:ascii="Times New Roman" w:hAnsi="Times New Roman" w:cs="Times New Roman"/>
          <w:sz w:val="24"/>
          <w:szCs w:val="24"/>
        </w:rPr>
        <w:t xml:space="preserve">: práticas de sujeição e práticas de subjetivação. Disponível em: </w:t>
      </w:r>
      <w:hyperlink r:id="rId119" w:history="1">
        <w:r w:rsidRPr="008A7B7A">
          <w:rPr>
            <w:rStyle w:val="Hyperlink"/>
            <w:rFonts w:ascii="Times New Roman" w:hAnsi="Times New Roman" w:cs="Times New Roman"/>
            <w:sz w:val="24"/>
            <w:szCs w:val="24"/>
          </w:rPr>
          <w:t>http://www.sbpcnet.org.br/livro/63ra/conpeex/mestrado/trabalhos-mestrado/mestrado-marcela -alves.pdf</w:t>
        </w:r>
      </w:hyperlink>
      <w:r w:rsidRPr="008A7B7A">
        <w:rPr>
          <w:rFonts w:ascii="Times New Roman" w:hAnsi="Times New Roman" w:cs="Times New Roman"/>
          <w:sz w:val="24"/>
          <w:szCs w:val="24"/>
        </w:rPr>
        <w:t xml:space="preserve">. Acessado em: 3 de maio de 2025. </w:t>
      </w:r>
    </w:p>
    <w:p w14:paraId="25E03FE9" w14:textId="77777777" w:rsidR="00B37D1F" w:rsidRPr="008A7B7A" w:rsidRDefault="00B37D1F" w:rsidP="008A7B7A">
      <w:pPr>
        <w:pStyle w:val="PargrafodaLista"/>
        <w:tabs>
          <w:tab w:val="left" w:pos="851"/>
        </w:tabs>
        <w:spacing w:after="0" w:line="240" w:lineRule="auto"/>
        <w:ind w:left="0"/>
        <w:jc w:val="both"/>
        <w:rPr>
          <w:rFonts w:ascii="Times New Roman" w:hAnsi="Times New Roman" w:cs="Times New Roman"/>
          <w:sz w:val="24"/>
          <w:szCs w:val="24"/>
        </w:rPr>
      </w:pPr>
    </w:p>
    <w:p w14:paraId="27008A90"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COSTA, A. M. N. </w:t>
      </w:r>
      <w:r w:rsidRPr="008A7B7A">
        <w:rPr>
          <w:rFonts w:ascii="Times New Roman" w:hAnsi="Times New Roman" w:cs="Times New Roman"/>
          <w:i/>
          <w:sz w:val="24"/>
          <w:szCs w:val="24"/>
        </w:rPr>
        <w:t>Revoluções Tecnológicas e Transformações Subjetivas</w:t>
      </w:r>
      <w:r w:rsidRPr="008A7B7A">
        <w:rPr>
          <w:rFonts w:ascii="Times New Roman" w:hAnsi="Times New Roman" w:cs="Times New Roman"/>
          <w:sz w:val="24"/>
          <w:szCs w:val="24"/>
        </w:rPr>
        <w:t xml:space="preserve">. 2022. Disponível em: </w:t>
      </w:r>
      <w:hyperlink r:id="rId120" w:history="1">
        <w:r w:rsidRPr="008A7B7A">
          <w:rPr>
            <w:rStyle w:val="Hyperlink"/>
            <w:rFonts w:ascii="Times New Roman" w:hAnsi="Times New Roman" w:cs="Times New Roman"/>
            <w:sz w:val="24"/>
            <w:szCs w:val="24"/>
          </w:rPr>
          <w:t>https://doi.org/10.1590/S0102-37722002000200009</w:t>
        </w:r>
      </w:hyperlink>
      <w:r w:rsidRPr="008A7B7A">
        <w:rPr>
          <w:rFonts w:ascii="Times New Roman" w:hAnsi="Times New Roman" w:cs="Times New Roman"/>
          <w:sz w:val="24"/>
          <w:szCs w:val="24"/>
        </w:rPr>
        <w:t xml:space="preserve">. Acessado em: 3 de maio de 2025. </w:t>
      </w:r>
    </w:p>
    <w:p w14:paraId="5AD083A3" w14:textId="77777777" w:rsidR="00B37D1F" w:rsidRPr="008A7B7A" w:rsidRDefault="00B37D1F" w:rsidP="008A7B7A">
      <w:pPr>
        <w:pStyle w:val="PargrafodaLista"/>
        <w:tabs>
          <w:tab w:val="left" w:pos="851"/>
        </w:tabs>
        <w:spacing w:after="0" w:line="240" w:lineRule="auto"/>
        <w:ind w:left="0"/>
        <w:jc w:val="both"/>
        <w:rPr>
          <w:rFonts w:ascii="Times New Roman" w:hAnsi="Times New Roman" w:cs="Times New Roman"/>
          <w:sz w:val="24"/>
          <w:szCs w:val="24"/>
        </w:rPr>
      </w:pPr>
    </w:p>
    <w:p w14:paraId="0C56EF71"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DARWIN, C. </w:t>
      </w:r>
      <w:r w:rsidRPr="008A7B7A">
        <w:rPr>
          <w:rFonts w:ascii="Times New Roman" w:hAnsi="Times New Roman" w:cs="Times New Roman"/>
          <w:i/>
          <w:sz w:val="24"/>
          <w:szCs w:val="24"/>
        </w:rPr>
        <w:t>A origem das espécies</w:t>
      </w:r>
      <w:r w:rsidRPr="008A7B7A">
        <w:rPr>
          <w:rFonts w:ascii="Times New Roman" w:hAnsi="Times New Roman" w:cs="Times New Roman"/>
          <w:sz w:val="24"/>
          <w:szCs w:val="24"/>
        </w:rPr>
        <w:t xml:space="preserve">. Tradução de José Henrique Rodrigues. São Paulo: Martins Fontes, 2000. DIAS, E. A educação e a escola. Para que servem as escolas?. Rio de Janeiro, v. 31, n.120, p. 621-629. Disponível em: </w:t>
      </w:r>
      <w:hyperlink r:id="rId121" w:history="1">
        <w:r w:rsidRPr="008A7B7A">
          <w:rPr>
            <w:rStyle w:val="Hyperlink"/>
            <w:rFonts w:ascii="Times New Roman" w:hAnsi="Times New Roman" w:cs="Times New Roman"/>
            <w:sz w:val="24"/>
            <w:szCs w:val="24"/>
          </w:rPr>
          <w:t>https://doi.org/10.1590/S0104-40362023003101201</w:t>
        </w:r>
      </w:hyperlink>
      <w:r w:rsidRPr="008A7B7A">
        <w:rPr>
          <w:rFonts w:ascii="Times New Roman" w:hAnsi="Times New Roman" w:cs="Times New Roman"/>
          <w:sz w:val="24"/>
          <w:szCs w:val="24"/>
        </w:rPr>
        <w:t>. Acessado em: 07 de janeiro de 2025.</w:t>
      </w:r>
    </w:p>
    <w:p w14:paraId="7E2C72C0" w14:textId="77777777" w:rsidR="00B37D1F" w:rsidRPr="008A7B7A" w:rsidRDefault="00B37D1F" w:rsidP="008A7B7A">
      <w:pPr>
        <w:tabs>
          <w:tab w:val="left" w:pos="851"/>
        </w:tabs>
        <w:spacing w:after="0" w:line="240" w:lineRule="auto"/>
        <w:jc w:val="both"/>
        <w:rPr>
          <w:rFonts w:ascii="Times New Roman" w:hAnsi="Times New Roman" w:cs="Times New Roman"/>
          <w:sz w:val="24"/>
          <w:szCs w:val="24"/>
        </w:rPr>
      </w:pPr>
    </w:p>
    <w:p w14:paraId="0A3B3281"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FANON, F. </w:t>
      </w:r>
      <w:r w:rsidRPr="008A7B7A">
        <w:rPr>
          <w:rFonts w:ascii="Times New Roman" w:hAnsi="Times New Roman" w:cs="Times New Roman"/>
          <w:i/>
          <w:sz w:val="24"/>
          <w:szCs w:val="24"/>
        </w:rPr>
        <w:t>Pele Negra, Máscaras Brancas</w:t>
      </w:r>
      <w:r w:rsidRPr="008A7B7A">
        <w:rPr>
          <w:rFonts w:ascii="Times New Roman" w:hAnsi="Times New Roman" w:cs="Times New Roman"/>
          <w:sz w:val="24"/>
          <w:szCs w:val="24"/>
        </w:rPr>
        <w:t xml:space="preserve">. São Paulo: Ubu Editora, 1952. FREIRE, P. Cadernos de Ciência 24. 1991. Disponível em: </w:t>
      </w:r>
      <w:hyperlink r:id="rId122" w:history="1">
        <w:r w:rsidRPr="008A7B7A">
          <w:rPr>
            <w:rStyle w:val="Hyperlink"/>
            <w:rFonts w:ascii="Times New Roman" w:hAnsi="Times New Roman" w:cs="Times New Roman"/>
            <w:sz w:val="24"/>
            <w:szCs w:val="24"/>
          </w:rPr>
          <w:t>https://acervo.paulofreire.org/handle/7891/1357</w:t>
        </w:r>
      </w:hyperlink>
      <w:r w:rsidRPr="008A7B7A">
        <w:rPr>
          <w:rFonts w:ascii="Times New Roman" w:hAnsi="Times New Roman" w:cs="Times New Roman"/>
          <w:sz w:val="24"/>
          <w:szCs w:val="24"/>
        </w:rPr>
        <w:t xml:space="preserve">. Acessado em: 2 de maio de 2025. </w:t>
      </w:r>
    </w:p>
    <w:p w14:paraId="1C0D30FE" w14:textId="77777777" w:rsidR="00B37D1F" w:rsidRPr="008A7B7A" w:rsidRDefault="00B37D1F" w:rsidP="008A7B7A">
      <w:pPr>
        <w:pStyle w:val="PargrafodaLista"/>
        <w:tabs>
          <w:tab w:val="left" w:pos="851"/>
        </w:tabs>
        <w:spacing w:after="0" w:line="240" w:lineRule="auto"/>
        <w:ind w:left="0"/>
        <w:jc w:val="both"/>
        <w:rPr>
          <w:rFonts w:ascii="Times New Roman" w:hAnsi="Times New Roman" w:cs="Times New Roman"/>
          <w:sz w:val="24"/>
          <w:szCs w:val="24"/>
        </w:rPr>
      </w:pPr>
    </w:p>
    <w:p w14:paraId="411D479B"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KEEGAN, John. </w:t>
      </w:r>
      <w:r w:rsidRPr="008A7B7A">
        <w:rPr>
          <w:rFonts w:ascii="Times New Roman" w:hAnsi="Times New Roman" w:cs="Times New Roman"/>
          <w:i/>
          <w:sz w:val="24"/>
          <w:szCs w:val="24"/>
        </w:rPr>
        <w:t>A Segunda Guerra Mundial</w:t>
      </w:r>
      <w:r w:rsidRPr="008A7B7A">
        <w:rPr>
          <w:rFonts w:ascii="Times New Roman" w:hAnsi="Times New Roman" w:cs="Times New Roman"/>
          <w:sz w:val="24"/>
          <w:szCs w:val="24"/>
        </w:rPr>
        <w:t xml:space="preserve">. São Paulo: Companhia das Letras, 2015. </w:t>
      </w:r>
    </w:p>
    <w:p w14:paraId="1B50DC27" w14:textId="77777777" w:rsidR="00B37D1F" w:rsidRPr="008A7B7A" w:rsidRDefault="00B37D1F" w:rsidP="008A7B7A">
      <w:pPr>
        <w:pStyle w:val="PargrafodaLista"/>
        <w:tabs>
          <w:tab w:val="left" w:pos="851"/>
        </w:tabs>
        <w:spacing w:after="0" w:line="240" w:lineRule="auto"/>
        <w:ind w:left="0"/>
        <w:jc w:val="both"/>
        <w:rPr>
          <w:rFonts w:ascii="Times New Roman" w:hAnsi="Times New Roman" w:cs="Times New Roman"/>
          <w:sz w:val="24"/>
          <w:szCs w:val="24"/>
        </w:rPr>
      </w:pPr>
    </w:p>
    <w:p w14:paraId="081A8BA7"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sz w:val="24"/>
          <w:szCs w:val="24"/>
        </w:rPr>
      </w:pPr>
      <w:r w:rsidRPr="008A7B7A">
        <w:rPr>
          <w:rFonts w:ascii="Times New Roman" w:hAnsi="Times New Roman" w:cs="Times New Roman"/>
          <w:sz w:val="24"/>
          <w:szCs w:val="24"/>
        </w:rPr>
        <w:t xml:space="preserve">LE BON, G. </w:t>
      </w:r>
      <w:r w:rsidRPr="008A7B7A">
        <w:rPr>
          <w:rFonts w:ascii="Times New Roman" w:hAnsi="Times New Roman" w:cs="Times New Roman"/>
          <w:i/>
          <w:sz w:val="24"/>
          <w:szCs w:val="24"/>
        </w:rPr>
        <w:t>Psicologia das Multidões</w:t>
      </w:r>
      <w:r w:rsidRPr="008A7B7A">
        <w:rPr>
          <w:rFonts w:ascii="Times New Roman" w:hAnsi="Times New Roman" w:cs="Times New Roman"/>
          <w:sz w:val="24"/>
          <w:szCs w:val="24"/>
        </w:rPr>
        <w:t xml:space="preserve">. Edições Roger Delraux, 198O. </w:t>
      </w:r>
    </w:p>
    <w:p w14:paraId="7D6C4414" w14:textId="77777777" w:rsidR="00B37D1F" w:rsidRPr="008A7B7A" w:rsidRDefault="00B37D1F" w:rsidP="008A7B7A">
      <w:pPr>
        <w:pStyle w:val="PargrafodaLista"/>
        <w:tabs>
          <w:tab w:val="left" w:pos="851"/>
        </w:tabs>
        <w:spacing w:after="0" w:line="240" w:lineRule="auto"/>
        <w:ind w:left="0"/>
        <w:jc w:val="both"/>
        <w:rPr>
          <w:rFonts w:ascii="Times New Roman" w:hAnsi="Times New Roman" w:cs="Times New Roman"/>
          <w:b/>
          <w:sz w:val="24"/>
          <w:szCs w:val="24"/>
        </w:rPr>
      </w:pPr>
    </w:p>
    <w:p w14:paraId="3D7CBF3B"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b/>
          <w:sz w:val="24"/>
          <w:szCs w:val="24"/>
        </w:rPr>
      </w:pPr>
      <w:r w:rsidRPr="008A7B7A">
        <w:rPr>
          <w:rFonts w:ascii="Times New Roman" w:hAnsi="Times New Roman" w:cs="Times New Roman"/>
          <w:sz w:val="24"/>
          <w:szCs w:val="24"/>
        </w:rPr>
        <w:t xml:space="preserve">MIGUEL, L. F. </w:t>
      </w:r>
      <w:r w:rsidRPr="008A7B7A">
        <w:rPr>
          <w:rFonts w:ascii="Times New Roman" w:hAnsi="Times New Roman" w:cs="Times New Roman"/>
          <w:i/>
          <w:sz w:val="24"/>
          <w:szCs w:val="24"/>
        </w:rPr>
        <w:t>Dominação e Resistência</w:t>
      </w:r>
      <w:r w:rsidRPr="008A7B7A">
        <w:rPr>
          <w:rFonts w:ascii="Times New Roman" w:hAnsi="Times New Roman" w:cs="Times New Roman"/>
          <w:sz w:val="24"/>
          <w:szCs w:val="24"/>
        </w:rPr>
        <w:t>: Desafios para uma política emancipatória. Boitempo: São Paulo. 2018.</w:t>
      </w:r>
    </w:p>
    <w:p w14:paraId="75C11FF5" w14:textId="77777777" w:rsidR="00B37D1F" w:rsidRPr="008A7B7A" w:rsidRDefault="00B37D1F" w:rsidP="008A7B7A">
      <w:pPr>
        <w:pStyle w:val="PargrafodaLista"/>
        <w:spacing w:after="0" w:line="240" w:lineRule="auto"/>
        <w:ind w:left="0"/>
        <w:jc w:val="both"/>
        <w:rPr>
          <w:rFonts w:ascii="Times New Roman" w:hAnsi="Times New Roman" w:cs="Times New Roman"/>
          <w:b/>
          <w:sz w:val="24"/>
          <w:szCs w:val="24"/>
        </w:rPr>
      </w:pPr>
    </w:p>
    <w:p w14:paraId="0CF3FEEE"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b/>
          <w:sz w:val="24"/>
          <w:szCs w:val="24"/>
        </w:rPr>
      </w:pPr>
      <w:r w:rsidRPr="008A7B7A">
        <w:rPr>
          <w:rFonts w:ascii="Times New Roman" w:hAnsi="Times New Roman" w:cs="Times New Roman"/>
          <w:sz w:val="24"/>
          <w:szCs w:val="24"/>
        </w:rPr>
        <w:t xml:space="preserve">MINISTÉRIO EDUCAÇÃO. </w:t>
      </w:r>
      <w:r w:rsidRPr="008A7B7A">
        <w:rPr>
          <w:rFonts w:ascii="Times New Roman" w:hAnsi="Times New Roman" w:cs="Times New Roman"/>
          <w:i/>
          <w:sz w:val="24"/>
          <w:szCs w:val="24"/>
        </w:rPr>
        <w:t>Política Nacional de Equidade, Educação para as Relações Étnico-Raciais e Educação Escolar Quilombola (Pneerq)</w:t>
      </w:r>
      <w:r w:rsidRPr="008A7B7A">
        <w:rPr>
          <w:rFonts w:ascii="Times New Roman" w:hAnsi="Times New Roman" w:cs="Times New Roman"/>
          <w:sz w:val="24"/>
          <w:szCs w:val="24"/>
        </w:rPr>
        <w:t xml:space="preserve">. 1996. Disponível em: </w:t>
      </w:r>
      <w:hyperlink r:id="rId123" w:history="1">
        <w:r w:rsidRPr="008A7B7A">
          <w:rPr>
            <w:rStyle w:val="Hyperlink"/>
            <w:rFonts w:ascii="Times New Roman" w:hAnsi="Times New Roman" w:cs="Times New Roman"/>
            <w:sz w:val="24"/>
            <w:szCs w:val="24"/>
          </w:rPr>
          <w:t>https://www.gov.br/mec/pt-br/pneerq</w:t>
        </w:r>
      </w:hyperlink>
      <w:r w:rsidRPr="008A7B7A">
        <w:rPr>
          <w:rFonts w:ascii="Times New Roman" w:hAnsi="Times New Roman" w:cs="Times New Roman"/>
          <w:sz w:val="24"/>
          <w:szCs w:val="24"/>
        </w:rPr>
        <w:t xml:space="preserve">. Acessado em: 22 de maio de 2025. MIRANDA, G. Necrocapitalismo: Ensaio sobre como nos matam. São Paulo: LavraPalavra, 2021. </w:t>
      </w:r>
    </w:p>
    <w:p w14:paraId="0787ACEF" w14:textId="77777777" w:rsidR="00B37D1F" w:rsidRPr="008A7B7A" w:rsidRDefault="00B37D1F" w:rsidP="008A7B7A">
      <w:pPr>
        <w:pStyle w:val="PargrafodaLista"/>
        <w:spacing w:after="0" w:line="240" w:lineRule="auto"/>
        <w:ind w:left="0"/>
        <w:jc w:val="both"/>
        <w:rPr>
          <w:rFonts w:ascii="Times New Roman" w:hAnsi="Times New Roman" w:cs="Times New Roman"/>
          <w:sz w:val="24"/>
          <w:szCs w:val="24"/>
        </w:rPr>
      </w:pPr>
    </w:p>
    <w:p w14:paraId="7B01F056"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b/>
          <w:sz w:val="24"/>
          <w:szCs w:val="24"/>
        </w:rPr>
      </w:pPr>
      <w:r w:rsidRPr="008A7B7A">
        <w:rPr>
          <w:rFonts w:ascii="Times New Roman" w:hAnsi="Times New Roman" w:cs="Times New Roman"/>
          <w:sz w:val="24"/>
          <w:szCs w:val="24"/>
        </w:rPr>
        <w:t xml:space="preserve">NETO, J. C. M.; STRECK, D. R. </w:t>
      </w:r>
      <w:r w:rsidRPr="008A7B7A">
        <w:rPr>
          <w:rFonts w:ascii="Times New Roman" w:hAnsi="Times New Roman" w:cs="Times New Roman"/>
          <w:i/>
          <w:sz w:val="24"/>
          <w:szCs w:val="24"/>
        </w:rPr>
        <w:t>Fontes da educação popular na América Latina</w:t>
      </w:r>
      <w:r w:rsidRPr="008A7B7A">
        <w:rPr>
          <w:rFonts w:ascii="Times New Roman" w:hAnsi="Times New Roman" w:cs="Times New Roman"/>
          <w:sz w:val="24"/>
          <w:szCs w:val="24"/>
        </w:rPr>
        <w:t xml:space="preserve">: contribuições para uma genealogia de um pensar pedagógico decolonial. Educar em Revista: Curitiba, v. 35, n. 78, p. 207-223, 2019. Disponível em: </w:t>
      </w:r>
      <w:hyperlink r:id="rId124" w:history="1">
        <w:r w:rsidRPr="008A7B7A">
          <w:rPr>
            <w:rStyle w:val="Hyperlink"/>
            <w:rFonts w:ascii="Times New Roman" w:hAnsi="Times New Roman" w:cs="Times New Roman"/>
            <w:sz w:val="24"/>
            <w:szCs w:val="24"/>
          </w:rPr>
          <w:t>https://doi.org/10.1590/0104-4060.65353</w:t>
        </w:r>
      </w:hyperlink>
      <w:r w:rsidRPr="008A7B7A">
        <w:rPr>
          <w:rFonts w:ascii="Times New Roman" w:hAnsi="Times New Roman" w:cs="Times New Roman"/>
          <w:sz w:val="24"/>
          <w:szCs w:val="24"/>
        </w:rPr>
        <w:t xml:space="preserve">. Acessado em: 2 de maio de 2025. </w:t>
      </w:r>
    </w:p>
    <w:p w14:paraId="146E1732" w14:textId="77777777" w:rsidR="00B37D1F" w:rsidRPr="008A7B7A" w:rsidRDefault="00B37D1F" w:rsidP="008A7B7A">
      <w:pPr>
        <w:pStyle w:val="PargrafodaLista"/>
        <w:spacing w:after="0" w:line="240" w:lineRule="auto"/>
        <w:ind w:left="0"/>
        <w:jc w:val="both"/>
        <w:rPr>
          <w:rFonts w:ascii="Times New Roman" w:hAnsi="Times New Roman" w:cs="Times New Roman"/>
          <w:sz w:val="24"/>
          <w:szCs w:val="24"/>
        </w:rPr>
      </w:pPr>
    </w:p>
    <w:p w14:paraId="5E7C87B1"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b/>
          <w:sz w:val="24"/>
          <w:szCs w:val="24"/>
        </w:rPr>
      </w:pPr>
      <w:r w:rsidRPr="008A7B7A">
        <w:rPr>
          <w:rFonts w:ascii="Times New Roman" w:hAnsi="Times New Roman" w:cs="Times New Roman"/>
          <w:sz w:val="24"/>
          <w:szCs w:val="24"/>
        </w:rPr>
        <w:t xml:space="preserve">PEREIRA, P. B. A. ; MENDES, V. M. ; MOREIRA, J. G. ; RODRIGUES, A. ; FEUERWERKER, L. C. M. </w:t>
      </w:r>
      <w:r w:rsidRPr="008A7B7A">
        <w:rPr>
          <w:rFonts w:ascii="Times New Roman" w:hAnsi="Times New Roman" w:cs="Times New Roman"/>
          <w:i/>
          <w:sz w:val="24"/>
          <w:szCs w:val="24"/>
        </w:rPr>
        <w:t>O que podem corpos negros?</w:t>
      </w:r>
      <w:r w:rsidRPr="008A7B7A">
        <w:rPr>
          <w:rFonts w:ascii="Times New Roman" w:hAnsi="Times New Roman" w:cs="Times New Roman"/>
          <w:sz w:val="24"/>
          <w:szCs w:val="24"/>
        </w:rPr>
        <w:t xml:space="preserve"> Navegando pelas existências que habitam narrativas-rizoma-visceral. Interface (Botucatu). 2022; Disponível em: </w:t>
      </w:r>
      <w:hyperlink r:id="rId125" w:history="1">
        <w:r w:rsidRPr="008A7B7A">
          <w:rPr>
            <w:rStyle w:val="Hyperlink"/>
            <w:rFonts w:ascii="Times New Roman" w:hAnsi="Times New Roman" w:cs="Times New Roman"/>
            <w:sz w:val="24"/>
            <w:szCs w:val="24"/>
          </w:rPr>
          <w:t>https://doi.org/10.1590/interface.210196</w:t>
        </w:r>
      </w:hyperlink>
      <w:r w:rsidRPr="008A7B7A">
        <w:rPr>
          <w:rFonts w:ascii="Times New Roman" w:hAnsi="Times New Roman" w:cs="Times New Roman"/>
          <w:sz w:val="24"/>
          <w:szCs w:val="24"/>
        </w:rPr>
        <w:t xml:space="preserve">. Acessado em: 26 de janeiro de 2025. </w:t>
      </w:r>
    </w:p>
    <w:p w14:paraId="6A6E89C9" w14:textId="77777777" w:rsidR="00B37D1F" w:rsidRPr="008A7B7A" w:rsidRDefault="00B37D1F" w:rsidP="008A7B7A">
      <w:pPr>
        <w:pStyle w:val="PargrafodaLista"/>
        <w:spacing w:after="0" w:line="240" w:lineRule="auto"/>
        <w:ind w:left="0"/>
        <w:jc w:val="both"/>
        <w:rPr>
          <w:rFonts w:ascii="Times New Roman" w:hAnsi="Times New Roman" w:cs="Times New Roman"/>
          <w:sz w:val="24"/>
          <w:szCs w:val="24"/>
        </w:rPr>
      </w:pPr>
    </w:p>
    <w:p w14:paraId="2DA8C0DB"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b/>
          <w:sz w:val="24"/>
          <w:szCs w:val="24"/>
        </w:rPr>
      </w:pPr>
      <w:r w:rsidRPr="008A7B7A">
        <w:rPr>
          <w:rFonts w:ascii="Times New Roman" w:hAnsi="Times New Roman" w:cs="Times New Roman"/>
          <w:sz w:val="24"/>
          <w:szCs w:val="24"/>
        </w:rPr>
        <w:t xml:space="preserve">PRATA, M. R. S. </w:t>
      </w:r>
      <w:r w:rsidRPr="008A7B7A">
        <w:rPr>
          <w:rFonts w:ascii="Times New Roman" w:hAnsi="Times New Roman" w:cs="Times New Roman"/>
          <w:i/>
          <w:sz w:val="24"/>
          <w:szCs w:val="24"/>
        </w:rPr>
        <w:t>A produção da subjetividade e as relações de poder na escola</w:t>
      </w:r>
      <w:r w:rsidRPr="008A7B7A">
        <w:rPr>
          <w:rFonts w:ascii="Times New Roman" w:hAnsi="Times New Roman" w:cs="Times New Roman"/>
          <w:sz w:val="24"/>
          <w:szCs w:val="24"/>
        </w:rPr>
        <w:t xml:space="preserve">: uma reflexão sobre a sociedade disciplinar na configuração social da atualidade. Universidade Estácio de Sá. 2005. Disponível em: </w:t>
      </w:r>
      <w:hyperlink r:id="rId126" w:history="1">
        <w:r w:rsidRPr="008A7B7A">
          <w:rPr>
            <w:rStyle w:val="Hyperlink"/>
            <w:rFonts w:ascii="Times New Roman" w:hAnsi="Times New Roman" w:cs="Times New Roman"/>
            <w:sz w:val="24"/>
            <w:szCs w:val="24"/>
          </w:rPr>
          <w:t>https://www.scielo.br/j/rbedu/a/wzdqPKjymZgRKYT6hJkdQwy/?format=pdf&amp;lang=pt</w:t>
        </w:r>
      </w:hyperlink>
      <w:r w:rsidRPr="008A7B7A">
        <w:rPr>
          <w:rFonts w:ascii="Times New Roman" w:hAnsi="Times New Roman" w:cs="Times New Roman"/>
          <w:sz w:val="24"/>
          <w:szCs w:val="24"/>
        </w:rPr>
        <w:t>. Acessado em: 12 de abril de 2025.</w:t>
      </w:r>
    </w:p>
    <w:p w14:paraId="3DFB6D6C" w14:textId="77777777" w:rsidR="00B37D1F" w:rsidRPr="008A7B7A" w:rsidRDefault="00B37D1F" w:rsidP="008A7B7A">
      <w:pPr>
        <w:pStyle w:val="PargrafodaLista"/>
        <w:spacing w:after="0" w:line="240" w:lineRule="auto"/>
        <w:ind w:left="0"/>
        <w:jc w:val="both"/>
        <w:rPr>
          <w:rFonts w:ascii="Times New Roman" w:hAnsi="Times New Roman" w:cs="Times New Roman"/>
          <w:sz w:val="24"/>
          <w:szCs w:val="24"/>
        </w:rPr>
      </w:pPr>
    </w:p>
    <w:p w14:paraId="71A1963B"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b/>
          <w:sz w:val="24"/>
          <w:szCs w:val="24"/>
        </w:rPr>
      </w:pPr>
      <w:r w:rsidRPr="008A7B7A">
        <w:rPr>
          <w:rFonts w:ascii="Times New Roman" w:hAnsi="Times New Roman" w:cs="Times New Roman"/>
          <w:sz w:val="24"/>
          <w:szCs w:val="24"/>
        </w:rPr>
        <w:t xml:space="preserve"> RAMACCIOTTI, B. L; CALGARO, G. A. </w:t>
      </w:r>
      <w:r w:rsidRPr="008A7B7A">
        <w:rPr>
          <w:rFonts w:ascii="Times New Roman" w:hAnsi="Times New Roman" w:cs="Times New Roman"/>
          <w:i/>
          <w:sz w:val="24"/>
          <w:szCs w:val="24"/>
        </w:rPr>
        <w:t>Construção do conceito de minorias e o debate teórico no campo do Direito. Florianópolis</w:t>
      </w:r>
      <w:r w:rsidRPr="008A7B7A">
        <w:rPr>
          <w:rFonts w:ascii="Times New Roman" w:hAnsi="Times New Roman" w:cs="Times New Roman"/>
          <w:sz w:val="24"/>
          <w:szCs w:val="24"/>
        </w:rPr>
        <w:t xml:space="preserve">: Sequência, vol. 42, n. 89, 2021. Disponível em: </w:t>
      </w:r>
      <w:hyperlink r:id="rId127" w:history="1">
        <w:r w:rsidRPr="008A7B7A">
          <w:rPr>
            <w:rStyle w:val="Hyperlink"/>
            <w:rFonts w:ascii="Times New Roman" w:hAnsi="Times New Roman" w:cs="Times New Roman"/>
            <w:sz w:val="24"/>
            <w:szCs w:val="24"/>
          </w:rPr>
          <w:t>https://doi.org/10.5007/2177-7055.2021.e72871</w:t>
        </w:r>
      </w:hyperlink>
      <w:r w:rsidRPr="008A7B7A">
        <w:rPr>
          <w:rFonts w:ascii="Times New Roman" w:hAnsi="Times New Roman" w:cs="Times New Roman"/>
          <w:sz w:val="24"/>
          <w:szCs w:val="24"/>
        </w:rPr>
        <w:t xml:space="preserve">. Acessado em: 10 de abril de 2025. </w:t>
      </w:r>
    </w:p>
    <w:p w14:paraId="5F0D5902" w14:textId="77777777" w:rsidR="00B37D1F" w:rsidRPr="008A7B7A" w:rsidRDefault="00B37D1F" w:rsidP="008A7B7A">
      <w:pPr>
        <w:pStyle w:val="PargrafodaLista"/>
        <w:spacing w:after="0" w:line="240" w:lineRule="auto"/>
        <w:ind w:left="0"/>
        <w:jc w:val="both"/>
        <w:rPr>
          <w:rFonts w:ascii="Times New Roman" w:hAnsi="Times New Roman" w:cs="Times New Roman"/>
          <w:sz w:val="24"/>
          <w:szCs w:val="24"/>
        </w:rPr>
      </w:pPr>
    </w:p>
    <w:p w14:paraId="1E1C7A12"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b/>
          <w:sz w:val="24"/>
          <w:szCs w:val="24"/>
        </w:rPr>
      </w:pPr>
      <w:r w:rsidRPr="008A7B7A">
        <w:rPr>
          <w:rFonts w:ascii="Times New Roman" w:hAnsi="Times New Roman" w:cs="Times New Roman"/>
          <w:sz w:val="24"/>
          <w:szCs w:val="24"/>
        </w:rPr>
        <w:t>REIS, D. S</w:t>
      </w:r>
      <w:r w:rsidRPr="008A7B7A">
        <w:rPr>
          <w:rFonts w:ascii="Times New Roman" w:hAnsi="Times New Roman" w:cs="Times New Roman"/>
          <w:i/>
          <w:sz w:val="24"/>
          <w:szCs w:val="24"/>
        </w:rPr>
        <w:t>. A colonialidade do saber: perspectivas decoloniais.</w:t>
      </w:r>
      <w:r w:rsidRPr="008A7B7A">
        <w:rPr>
          <w:rFonts w:ascii="Times New Roman" w:hAnsi="Times New Roman" w:cs="Times New Roman"/>
          <w:sz w:val="24"/>
          <w:szCs w:val="24"/>
        </w:rPr>
        <w:t xml:space="preserve"> Educ. Soc.: Campinas, v. 43, 2022. Disponível em: </w:t>
      </w:r>
      <w:hyperlink r:id="rId128" w:history="1">
        <w:r w:rsidRPr="008A7B7A">
          <w:rPr>
            <w:rStyle w:val="Hyperlink"/>
            <w:rFonts w:ascii="Times New Roman" w:hAnsi="Times New Roman" w:cs="Times New Roman"/>
            <w:sz w:val="24"/>
            <w:szCs w:val="24"/>
          </w:rPr>
          <w:t>https://doi.org/10.1590/ES.240967</w:t>
        </w:r>
      </w:hyperlink>
      <w:r w:rsidRPr="008A7B7A">
        <w:rPr>
          <w:rFonts w:ascii="Times New Roman" w:hAnsi="Times New Roman" w:cs="Times New Roman"/>
          <w:sz w:val="24"/>
          <w:szCs w:val="24"/>
        </w:rPr>
        <w:t xml:space="preserve">. Acessado em: 2 de maio de 2025. </w:t>
      </w:r>
    </w:p>
    <w:p w14:paraId="4583BDEF" w14:textId="77777777" w:rsidR="00B37D1F" w:rsidRPr="008A7B7A" w:rsidRDefault="00B37D1F" w:rsidP="008A7B7A">
      <w:pPr>
        <w:pStyle w:val="PargrafodaLista"/>
        <w:spacing w:after="0" w:line="240" w:lineRule="auto"/>
        <w:ind w:left="0"/>
        <w:jc w:val="both"/>
        <w:rPr>
          <w:rFonts w:ascii="Times New Roman" w:hAnsi="Times New Roman" w:cs="Times New Roman"/>
          <w:sz w:val="24"/>
          <w:szCs w:val="24"/>
        </w:rPr>
      </w:pPr>
    </w:p>
    <w:p w14:paraId="6A1A58E8"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b/>
          <w:sz w:val="24"/>
          <w:szCs w:val="24"/>
        </w:rPr>
      </w:pPr>
      <w:r w:rsidRPr="008A7B7A">
        <w:rPr>
          <w:rFonts w:ascii="Times New Roman" w:hAnsi="Times New Roman" w:cs="Times New Roman"/>
          <w:sz w:val="24"/>
          <w:szCs w:val="24"/>
        </w:rPr>
        <w:t>SOUZA, I. C. ; GUASTI, M. C. F. A</w:t>
      </w:r>
      <w:r w:rsidRPr="008A7B7A">
        <w:rPr>
          <w:rFonts w:ascii="Times New Roman" w:hAnsi="Times New Roman" w:cs="Times New Roman"/>
          <w:i/>
          <w:sz w:val="24"/>
          <w:szCs w:val="24"/>
        </w:rPr>
        <w:t>. Cultura africana e sua influência na cultura brasileira</w:t>
      </w:r>
      <w:r w:rsidRPr="008A7B7A">
        <w:rPr>
          <w:rFonts w:ascii="Times New Roman" w:hAnsi="Times New Roman" w:cs="Times New Roman"/>
          <w:sz w:val="24"/>
          <w:szCs w:val="24"/>
        </w:rPr>
        <w:t xml:space="preserve"> . In: ENCONTRO NACIONAL DOS ESTUDANTES DE BIBLIOTECONOMIA, DOCUMENTAÇÃO, CIÊNCIA E GESTÃO DA INFORMAÇÃO, 41. Rio de Janeiro, 2018. 18 Anais... Rio de Janeiro: Universidade Federal do Estado do Rio de Janeiro, 2018. p.1-16. Disponível em: </w:t>
      </w:r>
      <w:hyperlink r:id="rId129" w:history="1">
        <w:r w:rsidRPr="008A7B7A">
          <w:rPr>
            <w:rStyle w:val="Hyperlink"/>
            <w:rFonts w:ascii="Times New Roman" w:hAnsi="Times New Roman" w:cs="Times New Roman"/>
            <w:sz w:val="24"/>
            <w:szCs w:val="24"/>
          </w:rPr>
          <w:t>https://app.uff.br/riuff/handle/1/12906</w:t>
        </w:r>
      </w:hyperlink>
      <w:r w:rsidRPr="008A7B7A">
        <w:rPr>
          <w:rFonts w:ascii="Times New Roman" w:hAnsi="Times New Roman" w:cs="Times New Roman"/>
          <w:sz w:val="24"/>
          <w:szCs w:val="24"/>
        </w:rPr>
        <w:t xml:space="preserve">. Acessado em: 6 de fevereiro de 2025. </w:t>
      </w:r>
    </w:p>
    <w:p w14:paraId="0FD1A961" w14:textId="77777777" w:rsidR="00B37D1F" w:rsidRPr="008A7B7A" w:rsidRDefault="00B37D1F" w:rsidP="008A7B7A">
      <w:pPr>
        <w:pStyle w:val="PargrafodaLista"/>
        <w:spacing w:after="0" w:line="240" w:lineRule="auto"/>
        <w:ind w:left="0"/>
        <w:jc w:val="both"/>
        <w:rPr>
          <w:rFonts w:ascii="Times New Roman" w:hAnsi="Times New Roman" w:cs="Times New Roman"/>
          <w:sz w:val="24"/>
          <w:szCs w:val="24"/>
        </w:rPr>
      </w:pPr>
    </w:p>
    <w:p w14:paraId="795BB3B2" w14:textId="77777777"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b/>
          <w:sz w:val="24"/>
          <w:szCs w:val="24"/>
        </w:rPr>
      </w:pPr>
      <w:r w:rsidRPr="008A7B7A">
        <w:rPr>
          <w:rFonts w:ascii="Times New Roman" w:hAnsi="Times New Roman" w:cs="Times New Roman"/>
          <w:sz w:val="24"/>
          <w:szCs w:val="24"/>
        </w:rPr>
        <w:t xml:space="preserve">SOUZA, N. S. </w:t>
      </w:r>
      <w:r w:rsidRPr="008A7B7A">
        <w:rPr>
          <w:rFonts w:ascii="Times New Roman" w:hAnsi="Times New Roman" w:cs="Times New Roman"/>
          <w:i/>
          <w:sz w:val="24"/>
          <w:szCs w:val="24"/>
        </w:rPr>
        <w:t>Tornar-se negro</w:t>
      </w:r>
      <w:r w:rsidRPr="008A7B7A">
        <w:rPr>
          <w:rFonts w:ascii="Times New Roman" w:hAnsi="Times New Roman" w:cs="Times New Roman"/>
          <w:sz w:val="24"/>
          <w:szCs w:val="24"/>
        </w:rPr>
        <w:t>: As viscitudes da Identidade do Negro Brasileiro em Ascensão Social. Rio de Janeiro: Edições Graal LTDA, 1983. SPENCER, H. Princípios de Sociologia. São Paulo: Martins Fontes, 1999.</w:t>
      </w:r>
    </w:p>
    <w:p w14:paraId="4E099C1D" w14:textId="77777777" w:rsidR="00B37D1F" w:rsidRPr="008A7B7A" w:rsidRDefault="00B37D1F" w:rsidP="008A7B7A">
      <w:pPr>
        <w:pStyle w:val="PargrafodaLista"/>
        <w:spacing w:after="0" w:line="240" w:lineRule="auto"/>
        <w:ind w:left="0"/>
        <w:jc w:val="both"/>
        <w:rPr>
          <w:rFonts w:ascii="Times New Roman" w:hAnsi="Times New Roman" w:cs="Times New Roman"/>
          <w:sz w:val="24"/>
          <w:szCs w:val="24"/>
        </w:rPr>
      </w:pPr>
    </w:p>
    <w:p w14:paraId="61B6E677" w14:textId="4F803C66" w:rsidR="00B37D1F" w:rsidRPr="008A7B7A" w:rsidRDefault="00B37D1F" w:rsidP="008A7B7A">
      <w:pPr>
        <w:pStyle w:val="PargrafodaLista"/>
        <w:numPr>
          <w:ilvl w:val="0"/>
          <w:numId w:val="2"/>
        </w:numPr>
        <w:tabs>
          <w:tab w:val="left" w:pos="851"/>
        </w:tabs>
        <w:spacing w:after="0" w:line="240" w:lineRule="auto"/>
        <w:ind w:left="0" w:firstLine="0"/>
        <w:jc w:val="both"/>
        <w:rPr>
          <w:rFonts w:ascii="Times New Roman" w:hAnsi="Times New Roman" w:cs="Times New Roman"/>
          <w:b/>
          <w:sz w:val="24"/>
          <w:szCs w:val="24"/>
        </w:rPr>
      </w:pPr>
      <w:r w:rsidRPr="008A7B7A">
        <w:rPr>
          <w:rFonts w:ascii="Times New Roman" w:hAnsi="Times New Roman" w:cs="Times New Roman"/>
          <w:sz w:val="24"/>
          <w:szCs w:val="24"/>
        </w:rPr>
        <w:t xml:space="preserve"> TERENA, L. M. ; BAIRRÃO, J. F. M. H. </w:t>
      </w:r>
      <w:r w:rsidRPr="008A7B7A">
        <w:rPr>
          <w:rFonts w:ascii="Times New Roman" w:hAnsi="Times New Roman" w:cs="Times New Roman"/>
          <w:i/>
          <w:sz w:val="24"/>
          <w:szCs w:val="24"/>
        </w:rPr>
        <w:t>Etnia e nominação</w:t>
      </w:r>
      <w:r w:rsidRPr="008A7B7A">
        <w:rPr>
          <w:rFonts w:ascii="Times New Roman" w:hAnsi="Times New Roman" w:cs="Times New Roman"/>
          <w:sz w:val="24"/>
          <w:szCs w:val="24"/>
        </w:rPr>
        <w:t xml:space="preserve">: ancestralidades em disputa e recomposições. Universidade de São Paulo, Faculdade de Filosofia, Ciências e Letras de Ribeirão Preto. São Paulo. 2023 Disponível em: </w:t>
      </w:r>
      <w:hyperlink r:id="rId130" w:history="1">
        <w:r w:rsidRPr="008A7B7A">
          <w:rPr>
            <w:rStyle w:val="Hyperlink"/>
            <w:rFonts w:ascii="Times New Roman" w:hAnsi="Times New Roman" w:cs="Times New Roman"/>
            <w:sz w:val="24"/>
            <w:szCs w:val="24"/>
          </w:rPr>
          <w:t>https://doi.org/10.1590/0103-6564e220066</w:t>
        </w:r>
      </w:hyperlink>
      <w:r w:rsidRPr="008A7B7A">
        <w:rPr>
          <w:rFonts w:ascii="Times New Roman" w:hAnsi="Times New Roman" w:cs="Times New Roman"/>
          <w:sz w:val="24"/>
          <w:szCs w:val="24"/>
        </w:rPr>
        <w:t xml:space="preserve">. Acessado em: 23 de janeiro 2025. </w:t>
      </w:r>
    </w:p>
    <w:p w14:paraId="7F79C153" w14:textId="77777777" w:rsidR="002973B6" w:rsidRPr="008A7B7A" w:rsidRDefault="002973B6" w:rsidP="008A7B7A">
      <w:pPr>
        <w:pStyle w:val="PargrafodaLista"/>
        <w:spacing w:after="0" w:line="240" w:lineRule="auto"/>
        <w:ind w:left="0"/>
        <w:jc w:val="both"/>
        <w:rPr>
          <w:rFonts w:ascii="Times New Roman" w:hAnsi="Times New Roman" w:cs="Times New Roman"/>
          <w:b/>
          <w:sz w:val="24"/>
          <w:szCs w:val="24"/>
        </w:rPr>
      </w:pPr>
    </w:p>
    <w:p w14:paraId="0599FC89" w14:textId="1231C35C" w:rsidR="002973B6" w:rsidRPr="008A7B7A" w:rsidRDefault="002973B6" w:rsidP="008A7B7A">
      <w:pPr>
        <w:tabs>
          <w:tab w:val="left" w:pos="851"/>
        </w:tabs>
        <w:spacing w:after="0" w:line="240" w:lineRule="auto"/>
        <w:jc w:val="both"/>
        <w:rPr>
          <w:rFonts w:ascii="Times New Roman" w:hAnsi="Times New Roman" w:cs="Times New Roman"/>
          <w:b/>
          <w:sz w:val="24"/>
          <w:szCs w:val="24"/>
        </w:rPr>
      </w:pPr>
    </w:p>
    <w:p w14:paraId="455F8B76" w14:textId="7D7615B7" w:rsidR="00850E20" w:rsidRPr="008A7B7A" w:rsidRDefault="00850E20" w:rsidP="008A7B7A">
      <w:pPr>
        <w:tabs>
          <w:tab w:val="left" w:pos="851"/>
        </w:tabs>
        <w:spacing w:after="0" w:line="240" w:lineRule="auto"/>
        <w:jc w:val="both"/>
        <w:rPr>
          <w:rFonts w:ascii="Times New Roman" w:hAnsi="Times New Roman" w:cs="Times New Roman"/>
          <w:b/>
          <w:sz w:val="24"/>
          <w:szCs w:val="24"/>
        </w:rPr>
      </w:pPr>
    </w:p>
    <w:p w14:paraId="362C043E" w14:textId="51AB949E" w:rsidR="00850E20" w:rsidRPr="008A7B7A" w:rsidRDefault="00850E20" w:rsidP="008A7B7A">
      <w:pPr>
        <w:tabs>
          <w:tab w:val="left" w:pos="851"/>
        </w:tabs>
        <w:spacing w:after="0" w:line="240" w:lineRule="auto"/>
        <w:jc w:val="both"/>
        <w:rPr>
          <w:rFonts w:ascii="Times New Roman" w:hAnsi="Times New Roman" w:cs="Times New Roman"/>
          <w:b/>
          <w:sz w:val="24"/>
          <w:szCs w:val="24"/>
        </w:rPr>
      </w:pPr>
    </w:p>
    <w:p w14:paraId="3E713FEC" w14:textId="19AE285D" w:rsidR="00850E20" w:rsidRPr="008A7B7A" w:rsidRDefault="00850E20" w:rsidP="008A7B7A">
      <w:pPr>
        <w:tabs>
          <w:tab w:val="left" w:pos="851"/>
        </w:tabs>
        <w:spacing w:after="0" w:line="240" w:lineRule="auto"/>
        <w:jc w:val="both"/>
        <w:rPr>
          <w:rFonts w:ascii="Times New Roman" w:hAnsi="Times New Roman" w:cs="Times New Roman"/>
          <w:b/>
          <w:sz w:val="24"/>
          <w:szCs w:val="24"/>
        </w:rPr>
      </w:pPr>
    </w:p>
    <w:sectPr w:rsidR="00850E20" w:rsidRPr="008A7B7A" w:rsidSect="007C3DCB">
      <w:headerReference w:type="default" r:id="rId131"/>
      <w:footerReference w:type="default" r:id="rId132"/>
      <w:headerReference w:type="first" r:id="rId133"/>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DC5D2" w14:textId="77777777" w:rsidR="00FF4391" w:rsidRDefault="00FF4391" w:rsidP="00B62AF4">
      <w:pPr>
        <w:spacing w:after="0" w:line="240" w:lineRule="auto"/>
      </w:pPr>
      <w:r>
        <w:separator/>
      </w:r>
    </w:p>
  </w:endnote>
  <w:endnote w:type="continuationSeparator" w:id="0">
    <w:p w14:paraId="3FC7BE48" w14:textId="77777777" w:rsidR="00FF4391" w:rsidRDefault="00FF4391" w:rsidP="00B62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845780"/>
      <w:docPartObj>
        <w:docPartGallery w:val="Page Numbers (Bottom of Page)"/>
        <w:docPartUnique/>
      </w:docPartObj>
    </w:sdtPr>
    <w:sdtContent>
      <w:p w14:paraId="141E88BA" w14:textId="50E44028" w:rsidR="00FB6B81" w:rsidRDefault="00FB6B81">
        <w:pPr>
          <w:pStyle w:val="Rodap"/>
          <w:jc w:val="right"/>
        </w:pPr>
        <w:r>
          <w:fldChar w:fldCharType="begin"/>
        </w:r>
        <w:r>
          <w:instrText>PAGE   \* MERGEFORMAT</w:instrText>
        </w:r>
        <w:r>
          <w:fldChar w:fldCharType="separate"/>
        </w:r>
        <w:r>
          <w:t>2</w:t>
        </w:r>
        <w:r>
          <w:fldChar w:fldCharType="end"/>
        </w:r>
      </w:p>
    </w:sdtContent>
  </w:sdt>
  <w:p w14:paraId="4E53E3FA" w14:textId="3FE77A03" w:rsidR="00FB6B81" w:rsidRDefault="00FB6B81">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C9EAB" w14:textId="77777777" w:rsidR="00FF4391" w:rsidRDefault="00FF4391" w:rsidP="00B62AF4">
      <w:pPr>
        <w:spacing w:after="0" w:line="240" w:lineRule="auto"/>
      </w:pPr>
      <w:r>
        <w:separator/>
      </w:r>
    </w:p>
  </w:footnote>
  <w:footnote w:type="continuationSeparator" w:id="0">
    <w:p w14:paraId="669EA293" w14:textId="77777777" w:rsidR="00FF4391" w:rsidRDefault="00FF4391" w:rsidP="00B62AF4">
      <w:pPr>
        <w:spacing w:after="0" w:line="240" w:lineRule="auto"/>
      </w:pPr>
      <w:r>
        <w:continuationSeparator/>
      </w:r>
    </w:p>
  </w:footnote>
  <w:footnote w:id="1">
    <w:p w14:paraId="2A0E41FB"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Fonts w:ascii="Times New Roman" w:hAnsi="Times New Roman" w:cs="Times New Roman"/>
          <w:sz w:val="20"/>
          <w:szCs w:val="20"/>
          <w:vertAlign w:val="superscript"/>
        </w:rPr>
        <w:footnoteRef/>
      </w:r>
      <w:r w:rsidRPr="008D0607">
        <w:rPr>
          <w:rFonts w:ascii="Times New Roman" w:hAnsi="Times New Roman" w:cs="Times New Roman"/>
          <w:sz w:val="20"/>
          <w:szCs w:val="20"/>
        </w:rPr>
        <w:t xml:space="preserve">  Os grupos de minoria são conjuntos de pessoas que compartilham características distintivas e enfrentam desafios específicos devido à sua posição social, cultural ou econômica em relação à maioria dominante de uma sociedade. (fonte: </w:t>
      </w:r>
      <w:r w:rsidRPr="008D0607">
        <w:rPr>
          <w:rFonts w:ascii="Times New Roman" w:hAnsi="Times New Roman" w:cs="Times New Roman"/>
          <w:color w:val="333333"/>
          <w:sz w:val="20"/>
          <w:szCs w:val="20"/>
        </w:rPr>
        <w:t>Ramacciotti BL, Calgaro GA. Construção do conceito de minorias e o debate teórico no campo do Direito.) Utilizar mesma fonte do texto e observar nas diretrizes a formatação sugerida.</w:t>
      </w:r>
    </w:p>
  </w:footnote>
  <w:footnote w:id="2">
    <w:p w14:paraId="0005FE4C"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Amostragem bola de neve é ​​um método de amostragem não probabilístico. Ao contrário da amostragem probabilística (que envolve alguma forma de seleção aleatória), os indivíduos iniciais selecionados para serem estudados são aqueles que recrutam novos participantes.</w:t>
      </w:r>
    </w:p>
  </w:footnote>
  <w:footnote w:id="3">
    <w:p w14:paraId="00F9615C"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Dados elaborados pelos autores</w:t>
      </w:r>
    </w:p>
  </w:footnote>
  <w:footnote w:id="4">
    <w:p w14:paraId="7A18BF4A"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Conceito da filósofa brasileira Sueli Carneiro.</w:t>
      </w:r>
    </w:p>
  </w:footnote>
  <w:footnote w:id="5">
    <w:p w14:paraId="226F8292" w14:textId="77777777" w:rsidR="00FB6B81" w:rsidRPr="008D0607" w:rsidRDefault="00FB6B81" w:rsidP="008D0607">
      <w:pPr>
        <w:pBdr>
          <w:top w:val="nil"/>
          <w:left w:val="nil"/>
          <w:bottom w:val="nil"/>
          <w:right w:val="nil"/>
          <w:between w:val="nil"/>
        </w:pBdr>
        <w:spacing w:after="0" w:line="240" w:lineRule="auto"/>
        <w:jc w:val="both"/>
        <w:rPr>
          <w:rFonts w:ascii="Times New Roman" w:eastAsia="Cambria" w:hAnsi="Times New Roman" w:cs="Times New Roman"/>
          <w:color w:val="000000"/>
          <w:sz w:val="20"/>
          <w:szCs w:val="20"/>
        </w:rPr>
      </w:pPr>
    </w:p>
    <w:p w14:paraId="2AF0ED89" w14:textId="77777777" w:rsidR="00FB6B81" w:rsidRPr="008D0607" w:rsidRDefault="00FB6B81" w:rsidP="008D0607">
      <w:pPr>
        <w:pBdr>
          <w:top w:val="nil"/>
          <w:left w:val="nil"/>
          <w:bottom w:val="nil"/>
          <w:right w:val="nil"/>
          <w:between w:val="nil"/>
        </w:pBdr>
        <w:spacing w:after="0" w:line="240" w:lineRule="auto"/>
        <w:jc w:val="both"/>
        <w:rPr>
          <w:rFonts w:ascii="Times New Roman" w:eastAsia="Cambria" w:hAnsi="Times New Roman" w:cs="Times New Roman"/>
          <w:color w:val="000000"/>
          <w:sz w:val="20"/>
          <w:szCs w:val="20"/>
        </w:rPr>
      </w:pPr>
      <w:r w:rsidRPr="008D0607">
        <w:rPr>
          <w:rFonts w:ascii="Times New Roman" w:hAnsi="Times New Roman" w:cs="Times New Roman"/>
          <w:sz w:val="20"/>
          <w:szCs w:val="20"/>
          <w:vertAlign w:val="superscript"/>
        </w:rPr>
        <w:footnoteRef/>
      </w:r>
      <w:r w:rsidRPr="008D0607">
        <w:rPr>
          <w:rFonts w:ascii="Times New Roman" w:eastAsia="Cambria" w:hAnsi="Times New Roman" w:cs="Times New Roman"/>
          <w:color w:val="000000"/>
          <w:sz w:val="20"/>
          <w:szCs w:val="20"/>
        </w:rPr>
        <w:t xml:space="preserve"> </w:t>
      </w:r>
      <w:r w:rsidRPr="008D0607">
        <w:rPr>
          <w:rFonts w:ascii="Times New Roman" w:hAnsi="Times New Roman" w:cs="Times New Roman"/>
          <w:color w:val="000000"/>
          <w:sz w:val="20"/>
          <w:szCs w:val="20"/>
        </w:rPr>
        <w:t>A descolonização do imaginário, para Frantz Fanon, é um processo fundamental na luta contra a colonização e seus efeitos, a qual envolve desmantelar as estruturas culturais e mentais impostas pelo colonizador.</w:t>
      </w:r>
      <w:r w:rsidRPr="008D0607">
        <w:rPr>
          <w:rFonts w:ascii="Times New Roman" w:eastAsia="Cambria" w:hAnsi="Times New Roman" w:cs="Times New Roman"/>
          <w:color w:val="000000"/>
          <w:sz w:val="20"/>
          <w:szCs w:val="20"/>
        </w:rPr>
        <w:t xml:space="preserve"> </w:t>
      </w:r>
    </w:p>
  </w:footnote>
  <w:footnote w:id="6">
    <w:p w14:paraId="5FB0BD89"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 Organização da Unidade Africana (OUA) foi fundada em 1963, na capital da Etiópia, Addis Abeba. No entanto, em 2002, foi renomeada como União Africana (UA) (MOORE, 2010).</w:t>
      </w:r>
    </w:p>
  </w:footnote>
  <w:footnote w:id="7">
    <w:p w14:paraId="1A641387" w14:textId="339721F7"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“Thomas Sankara: Presente!”. Disponível em: </w:t>
      </w:r>
      <w:hyperlink r:id="rId1" w:history="1">
        <w:r w:rsidRPr="008D0607">
          <w:rPr>
            <w:rStyle w:val="Hyperlink"/>
            <w:rFonts w:ascii="Times New Roman" w:hAnsi="Times New Roman" w:cs="Times New Roman"/>
          </w:rPr>
          <w:t>https://youtu.be/WLO6HIfjseU?si=_09EgH7Dvm8C0YpH</w:t>
        </w:r>
      </w:hyperlink>
      <w:r w:rsidRPr="008D0607">
        <w:rPr>
          <w:rFonts w:ascii="Times New Roman" w:hAnsi="Times New Roman" w:cs="Times New Roman"/>
        </w:rPr>
        <w:t>. Acessado no dia 23/02/2024.</w:t>
      </w:r>
    </w:p>
  </w:footnote>
  <w:footnote w:id="8">
    <w:p w14:paraId="0C4DE4F5"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Grande entrevista de Sérgio Vieira na STV moçambicana. Disponível em: </w:t>
      </w:r>
      <w:hyperlink r:id="rId2" w:history="1">
        <w:r w:rsidRPr="008D0607">
          <w:rPr>
            <w:rStyle w:val="Hyperlink"/>
            <w:rFonts w:ascii="Times New Roman" w:hAnsi="Times New Roman" w:cs="Times New Roman"/>
          </w:rPr>
          <w:t>https://youtu.be/yvShgLQtCow?si=aPJ4MtAD_foLp4pK</w:t>
        </w:r>
      </w:hyperlink>
      <w:r w:rsidRPr="008D0607">
        <w:rPr>
          <w:rFonts w:ascii="Times New Roman" w:hAnsi="Times New Roman" w:cs="Times New Roman"/>
        </w:rPr>
        <w:t>. Acessado no dia 22/05/2024.</w:t>
      </w:r>
    </w:p>
  </w:footnote>
  <w:footnote w:id="9">
    <w:p w14:paraId="23554659"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Palavra da língua Kimbundu de Angola, para se referir às pessoas que vendem sentados/as nas feiras ou mercados informais.</w:t>
      </w:r>
    </w:p>
  </w:footnote>
  <w:footnote w:id="10">
    <w:p w14:paraId="197898C7"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 palavra "zungueiro", originária da língua Kimbundu, é comumente usada em Angola para se referir a vendedores ambulantes, especialmente aqueles que comercializam produtos em mercados informais ou em feiras ao ar livre.</w:t>
      </w:r>
    </w:p>
  </w:footnote>
  <w:footnote w:id="11">
    <w:p w14:paraId="4289D8F8"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“Abel Chivukuvuku a 360⁰ sobre o praja-sa, fpu, e muito mais”. Disponível em: </w:t>
      </w:r>
      <w:hyperlink r:id="rId3" w:history="1">
        <w:r w:rsidRPr="008D0607">
          <w:rPr>
            <w:rStyle w:val="Hyperlink"/>
            <w:rFonts w:ascii="Times New Roman" w:hAnsi="Times New Roman" w:cs="Times New Roman"/>
          </w:rPr>
          <w:t>https://youtu.be/0UmtrCGlFgU?si=26K4k0xAT_NyXMnd</w:t>
        </w:r>
      </w:hyperlink>
      <w:r w:rsidRPr="008D0607">
        <w:rPr>
          <w:rFonts w:ascii="Times New Roman" w:hAnsi="Times New Roman" w:cs="Times New Roman"/>
        </w:rPr>
        <w:t>. Acessado no dia 17/06/2024.</w:t>
      </w:r>
    </w:p>
  </w:footnote>
  <w:footnote w:id="12">
    <w:p w14:paraId="3D55714B"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“Conflito entre República Democrática do Congo e Ruanda é antigo”. Disponível em: </w:t>
      </w:r>
      <w:hyperlink r:id="rId4" w:history="1">
        <w:r w:rsidRPr="008D0607">
          <w:rPr>
            <w:rStyle w:val="Hyperlink"/>
            <w:rFonts w:ascii="Times New Roman" w:hAnsi="Times New Roman" w:cs="Times New Roman"/>
          </w:rPr>
          <w:t>https://pt.euronews.com/2022/06/21/conflito-entre-republica-democratica-do-congo-e-ruanda-e-antigo</w:t>
        </w:r>
      </w:hyperlink>
      <w:r w:rsidRPr="008D0607">
        <w:rPr>
          <w:rFonts w:ascii="Times New Roman" w:hAnsi="Times New Roman" w:cs="Times New Roman"/>
        </w:rPr>
        <w:t>. Acessado no dia 02/06/2024.</w:t>
      </w:r>
    </w:p>
  </w:footnote>
  <w:footnote w:id="13">
    <w:p w14:paraId="11E823DD"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“Terrorismo em Cabo Delgado”. Disponível em: </w:t>
      </w:r>
      <w:hyperlink r:id="rId5" w:history="1">
        <w:r w:rsidRPr="008D0607">
          <w:rPr>
            <w:rStyle w:val="Hyperlink"/>
            <w:rFonts w:ascii="Times New Roman" w:hAnsi="Times New Roman" w:cs="Times New Roman"/>
          </w:rPr>
          <w:t>https://www.dw.com/pt-002/terrorismo-em-cabo-delgado/t-55180646</w:t>
        </w:r>
      </w:hyperlink>
      <w:r w:rsidRPr="008D0607">
        <w:rPr>
          <w:rFonts w:ascii="Times New Roman" w:hAnsi="Times New Roman" w:cs="Times New Roman"/>
        </w:rPr>
        <w:t>. Acessado no dia 02/06/2024.</w:t>
      </w:r>
    </w:p>
  </w:footnote>
  <w:footnote w:id="14">
    <w:p w14:paraId="11B4920E" w14:textId="05CF8411" w:rsidR="00FB6B81" w:rsidRPr="008D0607" w:rsidRDefault="00FB6B81" w:rsidP="008D0607">
      <w:pPr>
        <w:pStyle w:val="Textodenotaderodap"/>
        <w:jc w:val="both"/>
        <w:rPr>
          <w:rFonts w:ascii="Times New Roman" w:hAnsi="Times New Roman" w:cs="Times New Roman"/>
          <w:lang w:val="en-GB"/>
        </w:rPr>
      </w:pPr>
      <w:r w:rsidRPr="008D0607">
        <w:rPr>
          <w:rStyle w:val="Refdenotaderodap"/>
          <w:rFonts w:ascii="Times New Roman" w:hAnsi="Times New Roman" w:cs="Times New Roman"/>
        </w:rPr>
        <w:footnoteRef/>
      </w:r>
      <w:r w:rsidRPr="008D0607">
        <w:rPr>
          <w:rFonts w:ascii="Times New Roman" w:hAnsi="Times New Roman" w:cs="Times New Roman"/>
        </w:rPr>
        <w:t xml:space="preserve"> “Sobre a CEDEAO”. Disponível em: </w:t>
      </w:r>
      <w:hyperlink r:id="rId6" w:history="1">
        <w:r w:rsidRPr="008D0607">
          <w:rPr>
            <w:rStyle w:val="Hyperlink"/>
            <w:rFonts w:ascii="Times New Roman" w:hAnsi="Times New Roman" w:cs="Times New Roman"/>
          </w:rPr>
          <w:t>https://www.ecowas.int/sobre-a-cedeao/?lang=pt-pt</w:t>
        </w:r>
      </w:hyperlink>
      <w:r w:rsidRPr="008D0607">
        <w:rPr>
          <w:rFonts w:ascii="Times New Roman" w:hAnsi="Times New Roman" w:cs="Times New Roman"/>
        </w:rPr>
        <w:t xml:space="preserve">. </w:t>
      </w:r>
      <w:r w:rsidRPr="008D0607">
        <w:rPr>
          <w:rFonts w:ascii="Times New Roman" w:hAnsi="Times New Roman" w:cs="Times New Roman"/>
          <w:lang w:val="en-GB"/>
        </w:rPr>
        <w:t>Acesso no dia 17/06/2024.</w:t>
      </w:r>
    </w:p>
  </w:footnote>
  <w:footnote w:id="15">
    <w:p w14:paraId="5753E279" w14:textId="77777777"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lang w:val="en-GB"/>
        </w:rPr>
        <w:t xml:space="preserve">“Magufuli's last powerful speech as tanzanian president!!”. </w:t>
      </w:r>
      <w:r w:rsidRPr="008D0607">
        <w:rPr>
          <w:rFonts w:ascii="Times New Roman" w:hAnsi="Times New Roman" w:cs="Times New Roman"/>
        </w:rPr>
        <w:t xml:space="preserve">Disponível em: </w:t>
      </w:r>
      <w:hyperlink r:id="rId7" w:history="1">
        <w:r w:rsidRPr="008D0607">
          <w:rPr>
            <w:rStyle w:val="Hyperlink"/>
            <w:rFonts w:ascii="Times New Roman" w:hAnsi="Times New Roman" w:cs="Times New Roman"/>
          </w:rPr>
          <w:t>https://youtu.be/2KraeN7MG5Y?si=sxbCmagu2hPGNQH7</w:t>
        </w:r>
      </w:hyperlink>
      <w:r w:rsidRPr="008D0607">
        <w:rPr>
          <w:rFonts w:ascii="Times New Roman" w:hAnsi="Times New Roman" w:cs="Times New Roman"/>
        </w:rPr>
        <w:t>. Acessado no dia 18/06/2024.</w:t>
      </w:r>
    </w:p>
  </w:footnote>
  <w:footnote w:id="16">
    <w:p w14:paraId="48242F6C"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“AZAGAIA - Revolução Já”. Disponível em: </w:t>
      </w:r>
      <w:hyperlink r:id="rId8" w:history="1">
        <w:r w:rsidRPr="008D0607">
          <w:rPr>
            <w:rStyle w:val="Hyperlink"/>
            <w:rFonts w:ascii="Times New Roman" w:hAnsi="Times New Roman" w:cs="Times New Roman"/>
          </w:rPr>
          <w:t>https://youtu.be/kTlxifbqnhY?si=AU8rI5G5RGXQQ5Ev</w:t>
        </w:r>
      </w:hyperlink>
      <w:r w:rsidRPr="008D0607">
        <w:rPr>
          <w:rFonts w:ascii="Times New Roman" w:hAnsi="Times New Roman" w:cs="Times New Roman"/>
        </w:rPr>
        <w:t>.  Acessado no dia 14/06/2024.</w:t>
      </w:r>
    </w:p>
  </w:footnote>
  <w:footnote w:id="17">
    <w:p w14:paraId="2F3C188E"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“Cimeira França-África discute impacto económico da Covid-19”. Disponível em: </w:t>
      </w:r>
      <w:hyperlink r:id="rId9" w:history="1">
        <w:r w:rsidRPr="008D0607">
          <w:rPr>
            <w:rStyle w:val="Hyperlink"/>
            <w:rFonts w:ascii="Times New Roman" w:hAnsi="Times New Roman" w:cs="Times New Roman"/>
            <w:sz w:val="20"/>
            <w:szCs w:val="20"/>
          </w:rPr>
          <w:t>https://www.dw.com/pt-002/cimeira-fran%C3%A7a-%C3%A1frica-discute-impacto-econ%C3%B3mico-da-covid-19/a-57547674</w:t>
        </w:r>
      </w:hyperlink>
      <w:r w:rsidRPr="008D0607">
        <w:rPr>
          <w:rFonts w:ascii="Times New Roman" w:hAnsi="Times New Roman" w:cs="Times New Roman"/>
          <w:sz w:val="20"/>
          <w:szCs w:val="20"/>
        </w:rPr>
        <w:t>.  Acessado no dia 17/05/2024.</w:t>
      </w:r>
    </w:p>
  </w:footnote>
  <w:footnote w:id="18">
    <w:p w14:paraId="2F86BCA7"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"Há países africanos com uma dívida impagável à Rússia". Disponível em: </w:t>
      </w:r>
      <w:hyperlink r:id="rId10" w:history="1">
        <w:r w:rsidRPr="008D0607">
          <w:rPr>
            <w:rStyle w:val="Hyperlink"/>
            <w:rFonts w:ascii="Times New Roman" w:hAnsi="Times New Roman" w:cs="Times New Roman"/>
            <w:sz w:val="20"/>
            <w:szCs w:val="20"/>
          </w:rPr>
          <w:t>https://www.dw.com/pt-002/cimeira-r%C3%BAssia-%C3%A1frica-h%C3%A1-pa%C3%ADses-africanos-com-uma-d%C3%ADvida-impag%C3%A1vel-%C3%A0-r%C3%BAssia/a-66370091</w:t>
        </w:r>
      </w:hyperlink>
      <w:r w:rsidRPr="008D0607">
        <w:rPr>
          <w:rFonts w:ascii="Times New Roman" w:hAnsi="Times New Roman" w:cs="Times New Roman"/>
          <w:sz w:val="20"/>
          <w:szCs w:val="20"/>
        </w:rPr>
        <w:t>. Acessado no dia 11/04/2024.</w:t>
      </w:r>
    </w:p>
  </w:footnote>
  <w:footnote w:id="19">
    <w:p w14:paraId="5F002DEE"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“O Honorável Marcus Mosiah Garvey”. Disponível em: </w:t>
      </w:r>
      <w:hyperlink r:id="rId11" w:history="1">
        <w:r w:rsidRPr="008D0607">
          <w:rPr>
            <w:rStyle w:val="Hyperlink"/>
            <w:rFonts w:ascii="Times New Roman" w:hAnsi="Times New Roman" w:cs="Times New Roman"/>
          </w:rPr>
          <w:t>https://youtu.be/5GBCf0ItYRw?si=WEwHYkA3kI5I9NXr</w:t>
        </w:r>
      </w:hyperlink>
      <w:r w:rsidRPr="008D0607">
        <w:rPr>
          <w:rFonts w:ascii="Times New Roman" w:hAnsi="Times New Roman" w:cs="Times New Roman"/>
        </w:rPr>
        <w:t>. Acessado no dia 11/03/2024.</w:t>
      </w:r>
    </w:p>
  </w:footnote>
  <w:footnote w:id="20">
    <w:p w14:paraId="24EEE671" w14:textId="77777777"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w:t>
      </w:r>
      <w:r w:rsidRPr="008D0607">
        <w:rPr>
          <w:rFonts w:ascii="Times New Roman" w:hAnsi="Times New Roman" w:cs="Times New Roman"/>
          <w:i/>
          <w:iCs/>
        </w:rPr>
        <w:t>Thomas Sankara</w:t>
      </w:r>
      <w:r w:rsidRPr="008D0607">
        <w:rPr>
          <w:rFonts w:ascii="Times New Roman" w:hAnsi="Times New Roman" w:cs="Times New Roman"/>
        </w:rPr>
        <w:t xml:space="preserve">. "...e naquele dia mataram a felicidade". Disponível em: </w:t>
      </w:r>
      <w:hyperlink r:id="rId12" w:history="1">
        <w:r w:rsidRPr="008D0607">
          <w:rPr>
            <w:rStyle w:val="Hyperlink"/>
            <w:rFonts w:ascii="Times New Roman" w:hAnsi="Times New Roman" w:cs="Times New Roman"/>
          </w:rPr>
          <w:t>https://youtu.be/20u-WWjM_50?si=XJjsZRUxmRoo3Ny4</w:t>
        </w:r>
      </w:hyperlink>
      <w:r w:rsidRPr="008D0607">
        <w:rPr>
          <w:rFonts w:ascii="Times New Roman" w:hAnsi="Times New Roman" w:cs="Times New Roman"/>
        </w:rPr>
        <w:t>. Acessado no dia 11/01/2024.</w:t>
      </w:r>
    </w:p>
  </w:footnote>
  <w:footnote w:id="21">
    <w:p w14:paraId="7C0B54DD"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“Burkinabê”, é a forma correta de se referir as pessoas nascidas no Burkina Faso, independentemente do seu sexo ou idade.</w:t>
      </w:r>
    </w:p>
  </w:footnote>
  <w:footnote w:id="22">
    <w:p w14:paraId="59C39DFE"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w:t>
      </w:r>
      <w:r w:rsidRPr="008D0607">
        <w:rPr>
          <w:rFonts w:ascii="Times New Roman" w:hAnsi="Times New Roman" w:cs="Times New Roman"/>
          <w:i/>
          <w:iCs/>
        </w:rPr>
        <w:t>Thomas Sankara</w:t>
      </w:r>
      <w:r w:rsidRPr="008D0607">
        <w:rPr>
          <w:rFonts w:ascii="Times New Roman" w:hAnsi="Times New Roman" w:cs="Times New Roman"/>
        </w:rPr>
        <w:t xml:space="preserve"> explica en 1 minuto el objetivo real de las ayudas del FMI. Disponível em: </w:t>
      </w:r>
      <w:hyperlink r:id="rId13" w:history="1">
        <w:r w:rsidRPr="008D0607">
          <w:rPr>
            <w:rStyle w:val="Hyperlink"/>
            <w:rFonts w:ascii="Times New Roman" w:hAnsi="Times New Roman" w:cs="Times New Roman"/>
          </w:rPr>
          <w:t>https://youtu.be/CAFG-PeZHKo?si=srPkqmne8ECDKtM8</w:t>
        </w:r>
      </w:hyperlink>
      <w:r w:rsidRPr="008D0607">
        <w:rPr>
          <w:rFonts w:ascii="Times New Roman" w:hAnsi="Times New Roman" w:cs="Times New Roman"/>
        </w:rPr>
        <w:t>. Acessado no dia 1/07/2024.</w:t>
      </w:r>
    </w:p>
  </w:footnote>
  <w:footnote w:id="23">
    <w:p w14:paraId="4090EEEB"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“França chocada com discurso viral do novo presidente do Senegal” (</w:t>
      </w:r>
      <w:r w:rsidRPr="008D0607">
        <w:rPr>
          <w:rFonts w:ascii="Times New Roman" w:hAnsi="Times New Roman" w:cs="Times New Roman"/>
          <w:i/>
          <w:iCs/>
        </w:rPr>
        <w:t>Ousmane Sonko</w:t>
      </w:r>
      <w:r w:rsidRPr="008D0607">
        <w:rPr>
          <w:rFonts w:ascii="Times New Roman" w:hAnsi="Times New Roman" w:cs="Times New Roman"/>
        </w:rPr>
        <w:t xml:space="preserve">). Disponível em: </w:t>
      </w:r>
      <w:hyperlink r:id="rId14" w:history="1">
        <w:r w:rsidRPr="008D0607">
          <w:rPr>
            <w:rStyle w:val="Hyperlink"/>
            <w:rFonts w:ascii="Times New Roman" w:hAnsi="Times New Roman" w:cs="Times New Roman"/>
          </w:rPr>
          <w:t>https://youtu.be/5J8C3P8nHY8?si=SsiNTEYhPP_4Z3Vd</w:t>
        </w:r>
      </w:hyperlink>
      <w:r w:rsidRPr="008D0607">
        <w:rPr>
          <w:rFonts w:ascii="Times New Roman" w:hAnsi="Times New Roman" w:cs="Times New Roman"/>
          <w:i/>
          <w:iCs/>
        </w:rPr>
        <w:t xml:space="preserve">. </w:t>
      </w:r>
      <w:r w:rsidRPr="008D0607">
        <w:rPr>
          <w:rFonts w:ascii="Times New Roman" w:hAnsi="Times New Roman" w:cs="Times New Roman"/>
        </w:rPr>
        <w:t>Acessado no dia 9/06/2024.</w:t>
      </w:r>
    </w:p>
  </w:footnote>
  <w:footnote w:id="24">
    <w:p w14:paraId="34F7F243"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Ao destacar o seu caráter burguês pretendo evidenciar e localizar historicamente a modernidade ocidental nas revoluções industriais, científicas e políticas da era de expansão e acumulação capitalista que Michel Foucault (2010) nomeou como a d’</w:t>
      </w:r>
      <w:r w:rsidRPr="008D0607">
        <w:rPr>
          <w:rFonts w:ascii="Times New Roman" w:hAnsi="Times New Roman" w:cs="Times New Roman"/>
          <w:i/>
          <w:iCs/>
          <w:sz w:val="20"/>
          <w:szCs w:val="20"/>
        </w:rPr>
        <w:t>O</w:t>
      </w:r>
      <w:r w:rsidRPr="008D0607">
        <w:rPr>
          <w:rFonts w:ascii="Times New Roman" w:hAnsi="Times New Roman" w:cs="Times New Roman"/>
          <w:sz w:val="20"/>
          <w:szCs w:val="20"/>
        </w:rPr>
        <w:t xml:space="preserve"> </w:t>
      </w:r>
      <w:r w:rsidRPr="008D0607">
        <w:rPr>
          <w:rFonts w:ascii="Times New Roman" w:hAnsi="Times New Roman" w:cs="Times New Roman"/>
          <w:i/>
          <w:iCs/>
          <w:sz w:val="20"/>
          <w:szCs w:val="20"/>
        </w:rPr>
        <w:t>nascimento da biopolítica</w:t>
      </w:r>
      <w:r w:rsidRPr="008D0607">
        <w:rPr>
          <w:rFonts w:ascii="Times New Roman" w:hAnsi="Times New Roman" w:cs="Times New Roman"/>
          <w:sz w:val="20"/>
          <w:szCs w:val="20"/>
        </w:rPr>
        <w:t>.</w:t>
      </w:r>
    </w:p>
  </w:footnote>
  <w:footnote w:id="25">
    <w:p w14:paraId="2715D60C"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Sempre que uso este conceito recorro à definição que Ruth Wilson Gilmore lhe atribui: “A gestão das categorias raciais pelo Estado é análoga à gestão das autoestradas, dos portos ou das telecomunicações; as práticas ideológicas e materiais racistas são infraestruturas que precisam de ser atualizadas, melhoradas e modernizadas periodicamente: é isto que se entende por racialização” (GILMORE, 2022: 264-265). Esta e outras traduções do inglês são feitas pelo autor.</w:t>
      </w:r>
    </w:p>
  </w:footnote>
  <w:footnote w:id="26">
    <w:p w14:paraId="0BC15ECF"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Uma das principais fronteiras internas da sociedade judaico-israelita é aquela desenhada entre judeus originários do Oriente, ou judeus </w:t>
      </w:r>
      <w:r w:rsidRPr="008D0607">
        <w:rPr>
          <w:rFonts w:ascii="Times New Roman" w:hAnsi="Times New Roman" w:cs="Times New Roman"/>
          <w:i/>
          <w:iCs/>
          <w:sz w:val="20"/>
          <w:szCs w:val="20"/>
        </w:rPr>
        <w:t>mizrahim</w:t>
      </w:r>
      <w:r w:rsidRPr="008D0607">
        <w:rPr>
          <w:rFonts w:ascii="Times New Roman" w:hAnsi="Times New Roman" w:cs="Times New Roman"/>
          <w:sz w:val="20"/>
          <w:szCs w:val="20"/>
        </w:rPr>
        <w:t>,</w:t>
      </w:r>
      <w:r w:rsidRPr="008D0607">
        <w:rPr>
          <w:rFonts w:ascii="Times New Roman" w:hAnsi="Times New Roman" w:cs="Times New Roman"/>
          <w:i/>
          <w:iCs/>
          <w:sz w:val="20"/>
          <w:szCs w:val="20"/>
        </w:rPr>
        <w:t xml:space="preserve"> </w:t>
      </w:r>
      <w:r w:rsidRPr="008D0607">
        <w:rPr>
          <w:rFonts w:ascii="Times New Roman" w:hAnsi="Times New Roman" w:cs="Times New Roman"/>
          <w:sz w:val="20"/>
          <w:szCs w:val="20"/>
        </w:rPr>
        <w:t xml:space="preserve">e judeus originários do Ocidente, ou judeus </w:t>
      </w:r>
      <w:r w:rsidRPr="008D0607">
        <w:rPr>
          <w:rFonts w:ascii="Times New Roman" w:hAnsi="Times New Roman" w:cs="Times New Roman"/>
          <w:i/>
          <w:iCs/>
          <w:sz w:val="20"/>
          <w:szCs w:val="20"/>
        </w:rPr>
        <w:t>ashkenazim</w:t>
      </w:r>
      <w:r w:rsidRPr="008D0607">
        <w:rPr>
          <w:rFonts w:ascii="Times New Roman" w:hAnsi="Times New Roman" w:cs="Times New Roman"/>
          <w:sz w:val="20"/>
          <w:szCs w:val="20"/>
        </w:rPr>
        <w:t xml:space="preserve">. </w:t>
      </w:r>
      <w:r w:rsidRPr="008D0607">
        <w:rPr>
          <w:rFonts w:ascii="Times New Roman" w:hAnsi="Times New Roman" w:cs="Times New Roman"/>
          <w:i/>
          <w:iCs/>
          <w:sz w:val="20"/>
          <w:szCs w:val="20"/>
        </w:rPr>
        <w:t>Ashkenazim</w:t>
      </w:r>
      <w:r w:rsidRPr="008D0607">
        <w:rPr>
          <w:rFonts w:ascii="Times New Roman" w:hAnsi="Times New Roman" w:cs="Times New Roman"/>
          <w:sz w:val="20"/>
          <w:szCs w:val="20"/>
        </w:rPr>
        <w:t xml:space="preserve"> deriva da palavra </w:t>
      </w:r>
      <w:r w:rsidRPr="008D0607">
        <w:rPr>
          <w:rFonts w:ascii="Times New Roman" w:hAnsi="Times New Roman" w:cs="Times New Roman"/>
          <w:i/>
          <w:iCs/>
          <w:sz w:val="20"/>
          <w:szCs w:val="20"/>
        </w:rPr>
        <w:t>Ashkenaz</w:t>
      </w:r>
      <w:r w:rsidRPr="008D0607">
        <w:rPr>
          <w:rFonts w:ascii="Times New Roman" w:hAnsi="Times New Roman" w:cs="Times New Roman"/>
          <w:sz w:val="20"/>
          <w:szCs w:val="20"/>
        </w:rPr>
        <w:t>, que em hebraico significa “Alemanha,” nome que identifica a região de origem destas comunidades, que viviam até à era das Cruzadas (séculos XI e XIII) entre a Renânia e o território francês. (Encyclopaedia Britannica, s.d.)</w:t>
      </w:r>
    </w:p>
  </w:footnote>
  <w:footnote w:id="27">
    <w:p w14:paraId="145ED383"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Estes dois pressupostos justificavam a materialização de uma Palestina sem palestinianos, ou seja, da conquista da maior extensão de território com o menor número de palestinianos a viverem nele.</w:t>
      </w:r>
    </w:p>
  </w:footnote>
  <w:footnote w:id="28">
    <w:p w14:paraId="14E517CB"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Algo que se prolongou no tempo, com o atual estatuto da Palestina como Estado Observador Permanente não-membro da Organização das Nações Unidas. Esse estatuto permite que representantes palestinianos participem como observadores em grupos de trabalho da organização, mas recusa-lhes o direito de voto em projetos de resolução e em decisões nos seus principais órgãos. (UN News, 29 nov. 2012)</w:t>
      </w:r>
    </w:p>
  </w:footnote>
  <w:footnote w:id="29">
    <w:p w14:paraId="33CE7A00"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Neste contexto, a exploração da mão-de-obra local pode existir, mas a finalidade é que ela seja supérflua. Nos EUA, por exemplo, a chegada de pessoas negras escravizadas, através do tráfico atlântico, cumpriu esse papel de extração de mais-valia a partir da força de trabalho e permitiu que os colonos europeus não dependessem da mão-de-obra local, num processo que se repetiu de diferentes formas em outros contextos.</w:t>
      </w:r>
    </w:p>
  </w:footnote>
  <w:footnote w:id="30">
    <w:p w14:paraId="132B0EC5"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 substituição dos nomes indígenas de lugares, que contêm em si memórias e cosmovisões, foi e continua a ser uma das estratégias de apagamento como produção de um “mundo ao contrário”.</w:t>
      </w:r>
    </w:p>
  </w:footnote>
  <w:footnote w:id="31">
    <w:p w14:paraId="75E25AF4"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Pense-se no paralelismo entre esta imagem como representação e aquelas que circularam depois do ato de insurgência mobilizado por guerrilheiros palestinianos no dia 7 de outubro de 2023. As duas representações partilham uma ideia específica sobre o significado de violência e sobre quem a pratica, enquanto procuram construir um consenso sobre a legitimidade das ações que devem ser mobilizadas como resposta a estes eventos. Como conta Domenico Losurdo (2010), a caracterização desta violência como algo irracional e dirigido contra “inocentes” antecede, em muitos casos, a sua denominação como “terrorismo”. Nestes contextos, apenas são “inocentes” aqueles que são considerados humanos, ou seja, os proprietários europeus brancos –os mesmos que desenharam, põem em prática e sustentam uma estrutura assente em violência, violência essa naturalizada como legítima porque posta em prática pelas instituições por eles desenhadas e por ser dirigida àqueles que se encontram fora delas, mas sobretudo no exterior das fronteiras daquilo que consideram como humano.</w:t>
      </w:r>
    </w:p>
  </w:footnote>
  <w:footnote w:id="32">
    <w:p w14:paraId="07C8361C"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No sentido mais amplo, ou seja, como proprietário de si (aquele que é, que pensa, que observa, que relata, que sabe, que define e faz cumprir a lei, etc.) e daquilo que considerava serem os seus bens, desde seres-humanos objetificados (como menos-do-que-humanos) e transformados em mercadoria, até territórios.</w:t>
      </w:r>
    </w:p>
  </w:footnote>
  <w:footnote w:id="33">
    <w:p w14:paraId="26D08034"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 ausência da Revolução Haitiana dos livros de história e das reflexões de vários intelectuais ocidentais –inclusivamente quando falam da trajetória do movimento antirracista e anticolonial– persiste no presente, mas não se limita a ele. Desde o século XVIII foi notória a ansiedade de governantes e proprietários em torno de uma revolução liderada também por pessoas negras escravizadas e das repercussões que isso poderia ter noutros territórios. Como nos conta Renato Shakur (13 mai. 2020), existiam inclusivamente termos como “haitianismo” ou “haitianização” para caracterizar tanto o medo das elites, como o potencial de propagação da Revolução Haitiana pelas Américas. O mesmo pode ser dito sobre o medo de propagação regional de uma revolução e libertação do povo palestiniano das amarras coloniais sionistas-israelitas. Esse é um receio partilhado por vários dos regimes antipopulares regionais que normalizaram relações com o colonizador (Egito, Jordânia, Emirados Árabes Unidos, Bahrein, Marrocos e Sudão) e de vários outros que cooperam mais ou menos diretamente com Israel.</w:t>
      </w:r>
    </w:p>
  </w:footnote>
  <w:footnote w:id="34">
    <w:p w14:paraId="27D30EED"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Expansão de direitos revertida em 1802 (BONAPARTE, 20 mai. 1802), após o fim do processo revolucionário com o golpe do 18 do Brumário de 1799.</w:t>
      </w:r>
    </w:p>
  </w:footnote>
  <w:footnote w:id="35">
    <w:p w14:paraId="66F0713D"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Na realidade, estadunidense.</w:t>
      </w:r>
    </w:p>
  </w:footnote>
  <w:footnote w:id="36">
    <w:p w14:paraId="31351484"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Esta perceção (produzida a partir de uma dicotomia ontoepistemológica) que muitos europeus têm sobre si mesmos e sobre a região é traduzida na perfeição por Josep Borrell, enquanto Alto Representante da União Europeia para os Negócios Estrangeiros e a Política de Segurança: “A Europa é um jardim. […] A maior parte do resto do mundo é uma selva, e a selva pode invadir o jardim” (</w:t>
      </w:r>
      <w:r w:rsidRPr="008D0607">
        <w:rPr>
          <w:rFonts w:ascii="Times New Roman" w:hAnsi="Times New Roman" w:cs="Times New Roman"/>
          <w:i/>
          <w:iCs/>
          <w:sz w:val="20"/>
          <w:szCs w:val="20"/>
        </w:rPr>
        <w:t xml:space="preserve">apud </w:t>
      </w:r>
      <w:r w:rsidRPr="008D0607">
        <w:rPr>
          <w:rFonts w:ascii="Times New Roman" w:hAnsi="Times New Roman" w:cs="Times New Roman"/>
          <w:sz w:val="20"/>
          <w:szCs w:val="20"/>
        </w:rPr>
        <w:t>LIBOREIRO, 19 out. 2022).</w:t>
      </w:r>
    </w:p>
  </w:footnote>
  <w:footnote w:id="37">
    <w:p w14:paraId="5C60E03F"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Consolidada com a aprovação da </w:t>
      </w:r>
      <w:r w:rsidRPr="008D0607">
        <w:rPr>
          <w:rFonts w:ascii="Times New Roman" w:hAnsi="Times New Roman" w:cs="Times New Roman"/>
          <w:i/>
          <w:iCs/>
        </w:rPr>
        <w:t>Constituição dos EUA</w:t>
      </w:r>
      <w:r w:rsidRPr="008D0607">
        <w:rPr>
          <w:rFonts w:ascii="Times New Roman" w:hAnsi="Times New Roman" w:cs="Times New Roman"/>
        </w:rPr>
        <w:t xml:space="preserve"> (CF-EUA, 4 mar. 1789), e da </w:t>
      </w:r>
      <w:r w:rsidRPr="008D0607">
        <w:rPr>
          <w:rFonts w:ascii="Times New Roman" w:hAnsi="Times New Roman" w:cs="Times New Roman"/>
          <w:i/>
          <w:iCs/>
        </w:rPr>
        <w:t>Constituição francesa de 1791</w:t>
      </w:r>
      <w:r w:rsidRPr="008D0607">
        <w:rPr>
          <w:rFonts w:ascii="Times New Roman" w:hAnsi="Times New Roman" w:cs="Times New Roman"/>
        </w:rPr>
        <w:t xml:space="preserve"> (ANF, 3 set. 1791), sendo que, este último documento foi sujeito a alterações por influência dos Jacobinos que expandiram direitos nos seguintes anos (CNF, 24 jun. 1793), até serem derrotados em 1794.</w:t>
      </w:r>
    </w:p>
  </w:footnote>
  <w:footnote w:id="38">
    <w:p w14:paraId="0B87B7FE"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Com a implantação da Primeira República francesa, em 1792, e com o </w:t>
      </w:r>
      <w:r w:rsidRPr="008D0607">
        <w:rPr>
          <w:rFonts w:ascii="Times New Roman" w:hAnsi="Times New Roman" w:cs="Times New Roman"/>
          <w:i/>
          <w:iCs/>
        </w:rPr>
        <w:t xml:space="preserve">Ato constitucional de 24 de junho de 1793 </w:t>
      </w:r>
      <w:r w:rsidRPr="008D0607">
        <w:rPr>
          <w:rFonts w:ascii="Times New Roman" w:hAnsi="Times New Roman" w:cs="Times New Roman"/>
        </w:rPr>
        <w:t>(CNF, 24 jun. 1793)</w:t>
      </w:r>
      <w:r w:rsidRPr="008D0607">
        <w:rPr>
          <w:rFonts w:ascii="Times New Roman" w:hAnsi="Times New Roman" w:cs="Times New Roman"/>
          <w:i/>
          <w:iCs/>
        </w:rPr>
        <w:t xml:space="preserve"> </w:t>
      </w:r>
      <w:r w:rsidRPr="008D0607">
        <w:rPr>
          <w:rFonts w:ascii="Times New Roman" w:hAnsi="Times New Roman" w:cs="Times New Roman"/>
        </w:rPr>
        <w:t>o sufrágio extensível a todos os homens adultos sem distinção de classe foi adotado, assim como referências a um modelo de soberania popular e a novos direitos de associação, de trabalho, de assistência pública, de educação pública e de rebelião. Contudo, a nova Constituição nunca chegaria a ser adotada com a derrota dos Jacobinos em 1794.</w:t>
      </w:r>
    </w:p>
  </w:footnote>
  <w:footnote w:id="39">
    <w:p w14:paraId="70AA3C59"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 relação entre os três territórios em questão –Haiti, EUA e França– e a diferença entre dois dos processos de rutura revolucionária torna-se evidente no trabalho de Peter Linebaugh (2023). O autor apresenta a compra do Louisiana à França, em 1803, como algo que serviu, simultaneamente, para expandir as fronteiras dos EUA e assim ocupar/mercantilizar mais territórios indígenas, para potenciar a economia escravocrata da plantação e para financiar a tentativa fracassada de Napoleão invadir o Haiti e reinstaurar a escravatura naquele território.</w:t>
      </w:r>
    </w:p>
  </w:footnote>
  <w:footnote w:id="40">
    <w:p w14:paraId="4DDA218F"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Leis que cumprem o papel semelhante ao de uma Constituição. A ausência de uma Constituição garante ao Estado de Israel a necessária flexibilidade legal e interpretativa para, por exemplo, facilitar a ocupação de mais territórios e incorporar indefinidamente mecanismos punitivos como a “detenção administrativa”, que permite manter presa por tempo indeterminado qualquer pessoa sem cidadania israelita.</w:t>
      </w:r>
    </w:p>
  </w:footnote>
  <w:footnote w:id="41">
    <w:p w14:paraId="44465546"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 Lei dos Proprietários Ausentes (KNESSET, 15 mar. 1950), a Lei da Propriedade Estatal (KNESSET, 6 fev. 1951) e a Lei da Aquisição de Terras (KNESSET, 1 mar. 1953), em articulação com outras leis aprovadas pelo </w:t>
      </w:r>
      <w:r w:rsidRPr="008D0607">
        <w:rPr>
          <w:rFonts w:ascii="Times New Roman" w:hAnsi="Times New Roman" w:cs="Times New Roman"/>
          <w:i/>
          <w:iCs/>
          <w:sz w:val="20"/>
          <w:szCs w:val="20"/>
        </w:rPr>
        <w:t>Knesset</w:t>
      </w:r>
      <w:r w:rsidRPr="008D0607">
        <w:rPr>
          <w:rFonts w:ascii="Times New Roman" w:hAnsi="Times New Roman" w:cs="Times New Roman"/>
          <w:sz w:val="20"/>
          <w:szCs w:val="20"/>
        </w:rPr>
        <w:t>, ou mantidas das administrações otomana e britânica, permitiram o roubo de terras aos refugiados palestinianos (ou mesmo àqueles que se haviam ausentado apenas durante o período entre 1947 e 1949) e a sua incorporação como parte da propriedade estatal ou paraestatal/sionista (como pertencente ao Fundo Nacional Judaico). No mesmo sentido, os palestinianos foram (e são) impedidos legalmente de adquirir ou aceder a qualquer parcela de terra fora dos limites impostos pelo Estado, ou seja, à totalidade do território que vai sendo progressivamente integrado nos limites geográficos sempre indefinidos do território israelita.</w:t>
      </w:r>
    </w:p>
  </w:footnote>
  <w:footnote w:id="42">
    <w:p w14:paraId="59422E9A"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 Lei do Retorno (KNESSET, 5 jul. 1950), que garante o acesso à nacionalidade a qualquer judeu reconhecido como tal pelas autoridades rabínicas (independentemente da sua origem), impede que qualquer palestiniano tenha acesso a esse direito.</w:t>
      </w:r>
    </w:p>
  </w:footnote>
  <w:footnote w:id="43">
    <w:p w14:paraId="5B02B16C"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Pela diferenciação entre a categoria de cidadania e a aquela de nacionalidade, apenas concedida a judeus pela imposição da Lei do Retorno (KNESSET, 5 jul. 1950) e da Lei da Nacionalidade (KNESSET, 1 abr. 1952). Esta diferenciação funciona como reivindicação, por parte do movimento sionista, da categoria de indígenas somente para os judeus, enquanto os palestinianos são remetidos para um estatuto de estrangeiros naturalizados pelo novo Estado. Isto permite também compreender porque é que os palestinianos são, recorrentemente, descritos como uma minoria étnica no seu próprio território, uma definição que os invisibiliza como povo originário da Palestina.</w:t>
      </w:r>
    </w:p>
  </w:footnote>
  <w:footnote w:id="44">
    <w:p w14:paraId="115D5028"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Uma política de morte mobilizada também contra pessoas ciganas, eslavas e outras consideradas menos-do-que-humanas, seja pela sua pertença a um determinado grupo étnico, a uma minoria sexual, por serem pessoas com deficiência ou por defenderem ideias políticas antagónicas às do projeto nazi-fascista, como militantes comunistas.</w:t>
      </w:r>
    </w:p>
  </w:footnote>
  <w:footnote w:id="45">
    <w:p w14:paraId="43D8D2CB"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É importante sublinhar que, na sequência da aprovação desta resolução, várias outras, aprovadas tanto na Assembleia Geral como no Conselho de Segurança da ONU, apelavam ao retorno dos refugiados palestinianos (CDIPP, 1978).</w:t>
      </w:r>
    </w:p>
  </w:footnote>
  <w:footnote w:id="46">
    <w:p w14:paraId="701B7B6D"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Hoje estimados em cerca de seis milhões (UNRWA, s.d.).</w:t>
      </w:r>
    </w:p>
  </w:footnote>
  <w:footnote w:id="47">
    <w:p w14:paraId="695B01F3"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Evento conhecido em Israel como “Guerra dos Seis Dias”, que teve como desfecho a ocupação, pelo exército israelita, da Península do Sinai e da Faixa de Gaza ao Egito, da Cisjordânia à Jordânia e dos Montes Golã à Síria.</w:t>
      </w:r>
    </w:p>
  </w:footnote>
  <w:footnote w:id="48">
    <w:p w14:paraId="6366C322" w14:textId="77777777" w:rsidR="00FB6B81" w:rsidRPr="008D0607" w:rsidRDefault="00FB6B81" w:rsidP="008D0607">
      <w:pPr>
        <w:pStyle w:val="Textodenotaderodap"/>
        <w:jc w:val="both"/>
        <w:rPr>
          <w:rFonts w:ascii="Times New Roman" w:hAnsi="Times New Roman" w:cs="Times New Roman"/>
          <w:i/>
          <w:iCs/>
          <w:color w:val="000000" w:themeColor="text1"/>
        </w:rPr>
      </w:pPr>
      <w:r w:rsidRPr="008D0607">
        <w:rPr>
          <w:rStyle w:val="Refdenotaderodap"/>
          <w:rFonts w:ascii="Times New Roman" w:hAnsi="Times New Roman" w:cs="Times New Roman"/>
          <w:color w:val="000000" w:themeColor="text1"/>
        </w:rPr>
        <w:footnoteRef/>
      </w:r>
      <w:r w:rsidRPr="008D0607">
        <w:rPr>
          <w:rFonts w:ascii="Times New Roman" w:hAnsi="Times New Roman" w:cs="Times New Roman"/>
          <w:color w:val="000000" w:themeColor="text1"/>
        </w:rPr>
        <w:t xml:space="preserve"> Para além do processo em curso no Tribunal Internacional de Justiça, o genocídio na Palestina foi exposto em vários relatórios publicados por organizações internacionais como a Amnistia Internacional (AI, 5 dez. 2024), a Human Rights Watch (HRW, 19 dez. 2024) e os Médicos Sem Fronteiras (MSF, 19 dez. 2024), mas também no documento “Genocídio como apagamento colonial”, elaborado pela Relatora Especial da ONU para os Territórios palestinianos Ocupados (FRANCESCA ALBANESE, 1 out. 2024).</w:t>
      </w:r>
    </w:p>
  </w:footnote>
  <w:footnote w:id="49">
    <w:p w14:paraId="7858D2DA"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Quer por estabelecer regras apenas na sequência de conflitos armados em solo europeu –o que indica uma negação de atos semelhantes cometidos pelos impérios europeus fora deste espaço como crimes– quer, pelo que indica Noura Erakat: “Apresentado como universal no apelo e na aplicação, o direito internacional é a codificação de tradições exclusivamente europeias […] que tornaram os direitos das nações indígenas dependentes da semelhança da sua sociedade com a sociedade europeia.” (ERAKAT, 2019:6)</w:t>
      </w:r>
    </w:p>
  </w:footnote>
  <w:footnote w:id="50">
    <w:p w14:paraId="029DFDCB"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Isso fica claro quando, por exemplo, vemos o governo dos EUA (país não subscritor do Estatuto de Roma) a impor, pela segunda vez desde 2019, sanções contra membros do Tribunal Penal Internacional (TPI) depois destes terem emitido mandados de captura para governantes israelitas. Esta medida junta-se àquela que ficou conhecida como “Lei de Invasão da Haia” e que dá ao Presidente dos EUA plenos poderes para libertar uma pessoa detida por ordem do TPI (France24, 7 fev. 2025).</w:t>
      </w:r>
    </w:p>
  </w:footnote>
  <w:footnote w:id="51">
    <w:p w14:paraId="021E0D52"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Antes do seu desmembramento, em 1991, o lugar agora ocupado pela Rússia pertencia à URSS.</w:t>
      </w:r>
    </w:p>
  </w:footnote>
  <w:footnote w:id="52">
    <w:p w14:paraId="55F1BB96"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Noura Erakat (2019) apresenta como exemplo o modelo tutelar adotado pela Liga das Nações até ao fim da Segunda Guerra Mundial –e que se manteve, de diferentes formas, após o seu desaparecimento–, onde a administração de territórios pelos impérios europeus se prolongava até que fosse decidido que as populações locais estavam preparadas para a independência, ou seja, para administrarem os seus próprios territórios segundo os moldes definidos como mais ajustados por esses mesmos impérios.</w:t>
      </w:r>
    </w:p>
  </w:footnote>
  <w:footnote w:id="53">
    <w:p w14:paraId="35B64E31" w14:textId="39AA75D2"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 do próprio Sionismo com a revogação da Resolução 3379, algo que está diretamente relacionado com o imperativo de reconhecer Israel para que um processo de retirada dos territórios ocupados fosse iniciado: “Em 1991, a Organização para a Libertação da Palestina concordou com um processo na Assembleia Geral para revogar a Resolução [3379] como condição para entrar nas negociações de paz de Madrid e Oslo. [Este] processo foi exitoso em obscurecer a estrutura sionista de colonização e de supremacia judaica.” (ERAKAT, 5 jul. 2021).</w:t>
      </w:r>
    </w:p>
  </w:footnote>
  <w:footnote w:id="54">
    <w:p w14:paraId="2DE284CB" w14:textId="74C2D65F"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Uma narrativa cunhada na era contemporânea pelo 40º Presidente dos EUA como uma síntese da herança bíblica e colonial do projeto nacional estadunidense que, segundo Ronald Reagan, deveria servir como “farol” moral da humanidade: “Nos últimos dias, quando estive naquela janela lá em cima, pensei um pouco na ‘cidade iluminada no topo da colina’. A frase é de John Winthrop, que a usou para descrever a América que imaginava. O que ele imaginou era ainda mais importante porque ele foi um dos primeiros colonos, um dos primeiros homens de liberdade. Viajou até aqui naquilo que hoje chamaríamos de um pequeno barco de madeira; e tal como os outros colonos, procurava um lugar para ser livre” (REAGAN, 11 jan. 1989).</w:t>
      </w:r>
    </w:p>
  </w:footnote>
  <w:footnote w:id="55">
    <w:p w14:paraId="660D352A"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Como explica Rashid Khalidi (2020:17-54), a mensagem de Theodor Herzl ressoou, em primeiro lugar, na Grã-Bretanha, que com a Declaração de Balfour, em 1917 –vertida oficialmente como política do Mandato Britânico na Palestina– se assumiu </w:t>
      </w:r>
      <w:r w:rsidRPr="008D0607">
        <w:rPr>
          <w:rFonts w:ascii="Times New Roman" w:hAnsi="Times New Roman" w:cs="Times New Roman"/>
          <w:i/>
          <w:iCs/>
          <w:sz w:val="20"/>
          <w:szCs w:val="20"/>
        </w:rPr>
        <w:t>de facto</w:t>
      </w:r>
      <w:r w:rsidRPr="008D0607">
        <w:rPr>
          <w:rFonts w:ascii="Times New Roman" w:hAnsi="Times New Roman" w:cs="Times New Roman"/>
          <w:sz w:val="20"/>
          <w:szCs w:val="20"/>
        </w:rPr>
        <w:t xml:space="preserve"> como metrópole que permitiria viabilizar o projeto sionista em termos políticos, mas também materiais (demográficos, económicos e militares) ao criar, por um lado, as condições necessárias para o estabelecimento e desenvolvimento de uma sociedade colonial e, por outro, ao contribuir decisivamente para a progressiva fragilização e desorganização da sociedade indígena.</w:t>
      </w:r>
    </w:p>
  </w:footnote>
  <w:footnote w:id="56">
    <w:p w14:paraId="23BD68CC" w14:textId="71A6DFBD"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 linguagem de exaltação colonial era, então, trivial e isso transparece tanto nos debates em torno da transferência populacional da população palestiniana, que antecederam em décadas o estabelecimento do Estado de Israel como, de forma mais direta, na correspondência trocada entre Theodor Herzl e Cecil Rhodes, onde o líder sionista destaca a sua admiração pela empresa colonial britânica no sul do continente africano e a compara ao projeto sionista, como um de caráter assumidamente colonial. (</w:t>
      </w:r>
      <w:r w:rsidRPr="008D0607">
        <w:rPr>
          <w:rFonts w:ascii="Times New Roman" w:hAnsi="Times New Roman" w:cs="Times New Roman"/>
          <w:i/>
          <w:iCs/>
          <w:sz w:val="20"/>
          <w:szCs w:val="20"/>
        </w:rPr>
        <w:t xml:space="preserve">apud </w:t>
      </w:r>
      <w:r w:rsidRPr="008D0607">
        <w:rPr>
          <w:rFonts w:ascii="Times New Roman" w:hAnsi="Times New Roman" w:cs="Times New Roman"/>
          <w:sz w:val="20"/>
          <w:szCs w:val="20"/>
        </w:rPr>
        <w:t>PATAI, 1960:1193-1195).</w:t>
      </w:r>
    </w:p>
  </w:footnote>
  <w:footnote w:id="57">
    <w:p w14:paraId="346A1A19"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Como afirma Joseph Massad (24 dez. 2012), no mundo em reconfiguração do pós-guerra, enquanto ocupava territórios palestinianos e levava a cabo massacres, o movimento sionista começou a apresentar-se, de forma absolutamente falsa, como movimento anticolonial e de autodeterminação judaica que combatia as ocupações britânica e árabe na Palestina.</w:t>
      </w:r>
    </w:p>
  </w:footnote>
  <w:footnote w:id="58">
    <w:p w14:paraId="65780F91"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Uma das linhas de continuidade na história diplomática de Israel assenta na tentativa de estabelecer relações diplomáticas com o maior número de países em todas as regiões do globo. Um exemplo importante é a criação da MASHAV (Agência de Israel para a Cooperação Internacional e o Desenvolvimento), em 1958, sob a tutela de Golda Meir, à época Ministra dos Negócios Estrangeiros. Esta agência serve como instrumento de </w:t>
      </w:r>
      <w:r w:rsidRPr="008D0607">
        <w:rPr>
          <w:rFonts w:ascii="Times New Roman" w:hAnsi="Times New Roman" w:cs="Times New Roman"/>
          <w:i/>
          <w:iCs/>
          <w:sz w:val="20"/>
          <w:szCs w:val="20"/>
        </w:rPr>
        <w:t>soft power</w:t>
      </w:r>
      <w:r w:rsidRPr="008D0607">
        <w:rPr>
          <w:rFonts w:ascii="Times New Roman" w:hAnsi="Times New Roman" w:cs="Times New Roman"/>
          <w:sz w:val="20"/>
          <w:szCs w:val="20"/>
        </w:rPr>
        <w:t xml:space="preserve"> e tem como uma das principais missões estabelecer relações bilaterais com Estados que seriam naturalmente críticos e opositores da colonização da Palestina como resultado da sua própria experiência histórica </w:t>
      </w:r>
      <w:r w:rsidRPr="008D0607">
        <w:rPr>
          <w:rFonts w:ascii="Times New Roman" w:eastAsia="Times New Roman" w:hAnsi="Times New Roman" w:cs="Times New Roman"/>
          <w:sz w:val="20"/>
          <w:szCs w:val="20"/>
          <w:lang w:eastAsia="pt-PT"/>
        </w:rPr>
        <w:t>(KRÄMER, 19 abr. 2018).</w:t>
      </w:r>
    </w:p>
  </w:footnote>
  <w:footnote w:id="59">
    <w:p w14:paraId="49FA0963"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Como explica Antony Loewenstein (2023), outras ferramentas diplomáticas são postas em prática de modo a “comprar” apoio externo para o projeto colonial sionista –o autor foca-se, sobretudo, na disponibilização de tecnologia militar avançada como contrapartida pelo apoio e proteção diplomática concedidos a Israel, destacando o papel destas trocas na normalização em curso da colónia de povoamento entre alguns dos seus vizinhos no Médio Oriente.</w:t>
      </w:r>
    </w:p>
  </w:footnote>
  <w:footnote w:id="60">
    <w:p w14:paraId="18470165"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Esta estratégia tem como finalidade, por um lado, apresentar Israel como única solução para o problema do antissemitismo e, por outro, usar o medo como ferramenta para convencer mais judeus a imigrarem para Israel e, portanto, a serem parte integrante do projeto de colonização da Palestina (HELLER, 11 jan. 2015).</w:t>
      </w:r>
    </w:p>
  </w:footnote>
  <w:footnote w:id="61">
    <w:p w14:paraId="770D3EC7"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 progressiva centralização (ainda em curso) do papel desempenhado pelos EUA na Segunda Guerra Mundial e a paralela relativização do papel absolutamente central que a URSS teve para a derrota do movimento nazi-fascista fizeram também parte deste processo de revisionismo histórico.</w:t>
      </w:r>
    </w:p>
  </w:footnote>
  <w:footnote w:id="62">
    <w:p w14:paraId="522E563F"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Ao deixar esta questão encerrada no passado, como meramente histórica, permite que aqueles que beneficiaram dessas estruturas de violência (como opressão, morte e extração), possam manter e potenciar os seus ganhos no presente, ao tornar sustentável o principal representante dos interesses imperialistas e coloniais na região. Ou seja, não beneficiando simplesmente Israel como colónia de povoamento, mas também todos aqueles que patrocinam este Estado.</w:t>
      </w:r>
    </w:p>
  </w:footnote>
  <w:footnote w:id="63">
    <w:p w14:paraId="0BEACB60" w14:textId="77777777"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w:t>
      </w:r>
      <w:r w:rsidRPr="008D0607">
        <w:rPr>
          <w:rFonts w:ascii="Times New Roman" w:hAnsi="Times New Roman" w:cs="Times New Roman"/>
          <w:lang w:val="pt-BR"/>
        </w:rPr>
        <w:t>Este caráter de “religião civil” traduz-se como incondicional apoio político e militar, como progressivo estreitamento de relações comerciais com o Estado de Israel –que incumpre despudoradamente o direito internacional desde 1948– e leva a que representantes do Estado alemão cheguem ao ponto de descrever a segurança do seu aliado como Staatsräson (uma espécie de razão de ser do Estado, algo constituinte da República Federal da Alemanha). Subjacente a esta lógica está a equiparação entre Sionismo/Israel e Judaísmo e a redução do combate ao antissemitismo ao apoio e à defesa inquestionáveis de Israel e do seu “direito à autodefesa”, ou seja, efetivamente o direito de Israel desrespeitar o direito internacional (KNESSET, 18 mar. 2008).</w:t>
      </w:r>
    </w:p>
    <w:p w14:paraId="2F150D61" w14:textId="4988D760" w:rsidR="00FB6B81" w:rsidRPr="008D0607" w:rsidRDefault="00FB6B81" w:rsidP="008D0607">
      <w:pPr>
        <w:pStyle w:val="Textodenotaderodap"/>
        <w:jc w:val="both"/>
        <w:rPr>
          <w:rFonts w:ascii="Times New Roman" w:hAnsi="Times New Roman" w:cs="Times New Roman"/>
          <w:lang w:val="pt-BR"/>
        </w:rPr>
      </w:pPr>
    </w:p>
  </w:footnote>
  <w:footnote w:id="64">
    <w:p w14:paraId="291142BE"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Gamal Abdel Nasser (Presidente do Egito entre 1956 e 1970) é descrito como o “Hitler no Nilo” (MISHRA, 30 jan. 2025).</w:t>
      </w:r>
    </w:p>
  </w:footnote>
  <w:footnote w:id="65">
    <w:p w14:paraId="163A31E4"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Yasser Arafat (líder da Organização para a Libertação da Palestina entre 1969 e 2004) é descrito como o “novo Hitler” (MISHRA, 21 mar. 2024).</w:t>
      </w:r>
    </w:p>
  </w:footnote>
  <w:footnote w:id="66">
    <w:p w14:paraId="5198BA83"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Os militantes do movimento político palestiniano Hamas são descritos como “os novos nazis” (Bloomberg Quicktake, 19 out. 2023).</w:t>
      </w:r>
    </w:p>
  </w:footnote>
  <w:footnote w:id="67">
    <w:p w14:paraId="6B3826C1"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Permitindo, desta forma, excecionalizar o antissemitismo como um tipo autónomo de racismo que, por isso mesmo, pode ajudar a justificar ou normalizar outros processos de alterização violenta, como a desumanização de pessoas palestinianas, árabes e muçulmanos como naturalmente antissemitas e merecedoras de uma punição coletiva.</w:t>
      </w:r>
    </w:p>
  </w:footnote>
  <w:footnote w:id="68">
    <w:p w14:paraId="64339AEB"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Um caso paradigmático é o dos EUA, onde a memória do Holocausto (extermínio de cerca de seis milhões de judeus levado a cabo por europeus em solo europeu) é usada como forma de sedimentar uma consciência coletiva partilhada entre este país e o continente europeu. Isto acontece ao mesmo tempo que o genocídio levado a cabo (e em curso) contra as sociedades indígenas que habitam os EUA é silenciado e excluído da consciência e da narrativa nacionais (TROUILLOT, 2015).</w:t>
      </w:r>
    </w:p>
  </w:footnote>
  <w:footnote w:id="69">
    <w:p w14:paraId="2ACB1D49"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Interpreto o início dessa trajetória na consciencialização de que a cidadania formal, concedida aos judeus pela Revolução Francesa, nunca se materializaria como igualdade real dentro do espaço-tempo europeu –algo aprofundado pelo julgamento do Capitão Dreyfus por suposta traição, em Paris. Esse momento foi crucial para pensar um movimento nacionalista judaica que defende uma saída da Europa e, simultaneamente, ser o seu representante no Médio Oriente (SCHORSKE, 2012).</w:t>
      </w:r>
    </w:p>
  </w:footnote>
  <w:footnote w:id="70">
    <w:p w14:paraId="4D2F5348"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Algo que pode ser encontrado no discurso proferido por Ursula von der Leyen, Presidente da Comissão Europeia: “Após a maior tragédia da humanidade, o povo judeu pôde finalmente construir um lar na ‘Terra Prometida’ Hoje celebramos 75 anos de democracia vibrante no coração do Médio Oriente” (</w:t>
      </w:r>
      <w:r w:rsidRPr="008D0607">
        <w:rPr>
          <w:rFonts w:ascii="Times New Roman" w:hAnsi="Times New Roman" w:cs="Times New Roman"/>
          <w:i/>
          <w:iCs/>
          <w:sz w:val="20"/>
          <w:szCs w:val="20"/>
        </w:rPr>
        <w:t xml:space="preserve">apud </w:t>
      </w:r>
      <w:r w:rsidRPr="008D0607">
        <w:rPr>
          <w:rFonts w:ascii="Times New Roman" w:hAnsi="Times New Roman" w:cs="Times New Roman"/>
          <w:sz w:val="20"/>
          <w:szCs w:val="20"/>
        </w:rPr>
        <w:t>Eu in Israel, 26 abr. 2023).</w:t>
      </w:r>
    </w:p>
  </w:footnote>
  <w:footnote w:id="71">
    <w:p w14:paraId="2B9AE23A"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É extremamente relevante notar a incorporação legal –por vários Estados e instituições– da definição prática de antissemitismo elaborada pela </w:t>
      </w:r>
      <w:r w:rsidRPr="008D0607">
        <w:rPr>
          <w:rFonts w:ascii="Times New Roman" w:hAnsi="Times New Roman" w:cs="Times New Roman"/>
          <w:i/>
          <w:iCs/>
          <w:sz w:val="20"/>
          <w:szCs w:val="20"/>
        </w:rPr>
        <w:t>Aliança Internacional para a Memória do Holocausto</w:t>
      </w:r>
      <w:r w:rsidRPr="008D0607">
        <w:rPr>
          <w:rFonts w:ascii="Times New Roman" w:hAnsi="Times New Roman" w:cs="Times New Roman"/>
          <w:sz w:val="20"/>
          <w:szCs w:val="20"/>
        </w:rPr>
        <w:t>, que limita qualquer crítica direcionada ao Estado de Israel e equipara antissionismo a antissemitismo (AIMH, 16 mai. 2016).</w:t>
      </w:r>
    </w:p>
  </w:footnote>
  <w:footnote w:id="72">
    <w:p w14:paraId="6FE58237"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Pelo contrário porque, ao considerar Israel como único representante legítimo de todos os judeus e do judaísmo e ao considerar que quaisquer críticas à ação política desse Estado são parte de um discurso e de uma prática antissemita, está-se a estabelecer uma relação que alimenta a confusão pública e a ignorante responsabilização de todos os judeus pela colonização da Palestina e pelos atos criminosos levados a cabo pelo Estado de Israel.</w:t>
      </w:r>
    </w:p>
  </w:footnote>
  <w:footnote w:id="73">
    <w:p w14:paraId="52C16C32"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 criminalização de pessoas individuais ou coletivas (principalmente palestinianas) que criticam o processo de colonização da Palestina aumentou significativamente após outubro de 2023. Contudo este tipo de perseguição política teve um dos seus pontos altos na Alemanha, em 2019, com a aprovação, no parlamento, de uma condenação ao movimento palestiniano BDS por suposto uso de táticas antissemitas, criando as condições para que este seja ilegalizado (ALKOUSAA e NASR, 17 mai. 2019).</w:t>
      </w:r>
    </w:p>
  </w:footnote>
  <w:footnote w:id="74">
    <w:p w14:paraId="61608983"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Algo presente no constante louvor ao exército israelita como o “mais moral do mundo”. (Netanyahu </w:t>
      </w:r>
      <w:r w:rsidRPr="008D0607">
        <w:rPr>
          <w:rFonts w:ascii="Times New Roman" w:hAnsi="Times New Roman" w:cs="Times New Roman"/>
          <w:i/>
          <w:iCs/>
          <w:sz w:val="20"/>
          <w:szCs w:val="20"/>
        </w:rPr>
        <w:t xml:space="preserve">apud </w:t>
      </w:r>
      <w:r w:rsidRPr="008D0607">
        <w:rPr>
          <w:rFonts w:ascii="Times New Roman" w:hAnsi="Times New Roman" w:cs="Times New Roman"/>
          <w:sz w:val="20"/>
          <w:szCs w:val="20"/>
        </w:rPr>
        <w:t>Middle East Eye, 21 mai. 2021).</w:t>
      </w:r>
    </w:p>
  </w:footnote>
  <w:footnote w:id="75">
    <w:p w14:paraId="4F884E24"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Desde outubro de 2023 que a violência colonial se intensificou e se expandiu, contudo, como demonstrado neste e noutros textos, ela não acontece num vácuo nem é excecional, mas estrutural ao Sionismo como força ideológica e material responsável pela </w:t>
      </w:r>
      <w:r w:rsidRPr="008D0607">
        <w:rPr>
          <w:rFonts w:ascii="Times New Roman" w:hAnsi="Times New Roman" w:cs="Times New Roman"/>
          <w:i/>
          <w:iCs/>
        </w:rPr>
        <w:t>Nakba</w:t>
      </w:r>
      <w:r w:rsidRPr="008D0607">
        <w:rPr>
          <w:rFonts w:ascii="Times New Roman" w:hAnsi="Times New Roman" w:cs="Times New Roman"/>
        </w:rPr>
        <w:t>-em-curso (Al-Haq, 15 mai. 2024).</w:t>
      </w:r>
    </w:p>
  </w:footnote>
  <w:footnote w:id="76">
    <w:p w14:paraId="3B2A95F7"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Este termo, que em português significa “orientais”, foi usado de modo pejorativo e homogeneizador e, mais tarde, resgatado e apropriado como identidade política pelas próprias comunidades.</w:t>
      </w:r>
    </w:p>
  </w:footnote>
  <w:footnote w:id="77">
    <w:p w14:paraId="6BC80B3B"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Em português, “Terra de Israel”, como referência ao seu passado bíblico como Reino de Israel. O termo também é usado em referência à “Grande Israel”, cujas fronteiras ultrapassam os limites geográficos da Palestina histórica (MASALHA, 2007).</w:t>
      </w:r>
    </w:p>
  </w:footnote>
  <w:footnote w:id="78">
    <w:p w14:paraId="7463C2DA"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No seu livro de memórias, o historiador judeu-israelita de origem iraquiana, Avi Shlaim (2023) descreve como o movimento sionista trabalhou para silenciar a relevância histórica da presença judaica no mundo árabe e muçulmano. Esta era uma história feita de trocas e mútuas contaminações que ajudou a moldar as comunidades judaicas e as sociedades locais que estas ajudaram a construir e das quais eram parte integrante –os judeus iraquianos chegaram a ser um terço da população de Bagdade e estavam representados em todos os estratos sociais. A suposta realidade marcada por despotismo e antissemitismo é contrariada pelo autor, que aponta a criação do Estado de Israel como o gatilho que despoletou as primeiras tensões relacionadas com as comunidades judaicas da região. No entanto, ele também refere que as pessoas destas comunidades não haviam aderido politicamente ao Sionismo, nem partilhavam da sua base ideológica. A sua saída dos países de origem foi motivada pela intervenção direta do movimento sionista, que negociou com as autoridades locais e lançou uma estratégia de medo, com a colocação e detonação de dinamite em lugares frequentados por judeus –Shlaim conta episódios de Bagdade, mas afirma que as mesmas ou outras táticas foram usadas em diferentes lugares.</w:t>
      </w:r>
    </w:p>
  </w:footnote>
  <w:footnote w:id="79">
    <w:p w14:paraId="32371F1B"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Uma ideia muitas vezes repetida por políticos israelitas, mas que se evidenciou, em 1969, durante a entrevista concedida pela então Primeira-Ministra, Golda Meir, ao </w:t>
      </w:r>
      <w:r w:rsidRPr="008D0607">
        <w:rPr>
          <w:rFonts w:ascii="Times New Roman" w:hAnsi="Times New Roman" w:cs="Times New Roman"/>
          <w:i/>
          <w:iCs/>
        </w:rPr>
        <w:t xml:space="preserve">Sunday Times </w:t>
      </w:r>
      <w:r w:rsidRPr="008D0607">
        <w:rPr>
          <w:rFonts w:ascii="Times New Roman" w:hAnsi="Times New Roman" w:cs="Times New Roman"/>
        </w:rPr>
        <w:t>de Londres: “Não era como se existisse um povo palestiniano na Palestina a considerar-se como povo palestiniano e nós viemos e expulsámo-los e tomámos o país deles. Eles não existiam” (</w:t>
      </w:r>
      <w:r w:rsidRPr="008D0607">
        <w:rPr>
          <w:rFonts w:ascii="Times New Roman" w:hAnsi="Times New Roman" w:cs="Times New Roman"/>
          <w:i/>
          <w:iCs/>
        </w:rPr>
        <w:t xml:space="preserve">apud </w:t>
      </w:r>
      <w:r w:rsidRPr="008D0607">
        <w:rPr>
          <w:rFonts w:ascii="Times New Roman" w:hAnsi="Times New Roman" w:cs="Times New Roman"/>
        </w:rPr>
        <w:t>MASSAD, 2000:334).</w:t>
      </w:r>
    </w:p>
  </w:footnote>
  <w:footnote w:id="80">
    <w:p w14:paraId="07B116AB" w14:textId="21A2879A"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Um argumento que persiste no tempo, com os Estados de maioria árabe a serem considerados responsáveis por receberem os palestinianos expulsos por Israel do seu território e com Israel a ser apresentado como responsável por acolher todos os judeus e como único lugar realmente seguro para os judeus viverem.</w:t>
      </w:r>
    </w:p>
  </w:footnote>
  <w:footnote w:id="81">
    <w:p w14:paraId="2FBF5904"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O conceito “caldeirão cultural”, descrito como suposto potenciador de uma democracia étnica e cultural composta por diferentes “tribos”, atua com o propósito de diluir a violência real, tanto do processo de homogeneização –pela via de uma assimilação hierarquizada– dentro da sociedade de colonos, como do processo de eliminação em curso da sociedade indígena.</w:t>
      </w:r>
    </w:p>
  </w:footnote>
  <w:footnote w:id="82">
    <w:p w14:paraId="5AC6BF73"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Avi Shlaim (2023) fala do impacte da sua experiência no exército israelita durante a “Guerra dos Seis Dias”. Foi essa experiência que ajudou a construir um apego aos símbolos (imagens e narrativas) nacionais israelitas, que existiam no campo de batalha como oposição direta a um inimigo “árabe”, fabricado como atemporal. O autor cita uma frase que remete para essa oposição como parte da ameaça existencial que se funde com a longa história de perseguição aos judeus: “Por sangue e fogo a Judeia caiu, por sangue e fogo a Judeia se levantará”. </w:t>
      </w:r>
      <w:r w:rsidRPr="008D0607">
        <w:rPr>
          <w:rFonts w:ascii="Times New Roman" w:eastAsia="Times New Roman" w:hAnsi="Times New Roman" w:cs="Times New Roman"/>
          <w:lang w:eastAsia="pt-PT"/>
        </w:rPr>
        <w:t xml:space="preserve">Shlaim, </w:t>
      </w:r>
      <w:r w:rsidRPr="008D0607">
        <w:rPr>
          <w:rFonts w:ascii="Times New Roman" w:eastAsia="Times New Roman" w:hAnsi="Times New Roman" w:cs="Times New Roman"/>
          <w:i/>
          <w:iCs/>
          <w:lang w:eastAsia="pt-PT"/>
        </w:rPr>
        <w:t>Three Worlds: Memoirs of an Arab-Jew</w:t>
      </w:r>
      <w:r w:rsidRPr="008D0607">
        <w:rPr>
          <w:rFonts w:ascii="Times New Roman" w:eastAsia="Times New Roman" w:hAnsi="Times New Roman" w:cs="Times New Roman"/>
          <w:lang w:eastAsia="pt-PT"/>
        </w:rPr>
        <w:t>.</w:t>
      </w:r>
    </w:p>
  </w:footnote>
  <w:footnote w:id="83">
    <w:p w14:paraId="15AB862E"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Esta papel como primeira linha de defesa e como substitutos das comunidades palestinianas está também presente dentro do espaço securitário e militar. A origem dos judeus </w:t>
      </w:r>
      <w:r w:rsidRPr="008D0607">
        <w:rPr>
          <w:rFonts w:ascii="Times New Roman" w:hAnsi="Times New Roman" w:cs="Times New Roman"/>
          <w:i/>
          <w:iCs/>
        </w:rPr>
        <w:t>mizrahim</w:t>
      </w:r>
      <w:r w:rsidRPr="008D0607">
        <w:rPr>
          <w:rFonts w:ascii="Times New Roman" w:hAnsi="Times New Roman" w:cs="Times New Roman"/>
        </w:rPr>
        <w:t xml:space="preserve"> faz com que Israel (e, antes do seu estabelecimento, a administração colonial britânica e milícias sionistas) os use em unidades especiais dentro do exército e da polícia. Os </w:t>
      </w:r>
      <w:r w:rsidRPr="008D0607">
        <w:rPr>
          <w:rFonts w:ascii="Times New Roman" w:hAnsi="Times New Roman" w:cs="Times New Roman"/>
          <w:i/>
          <w:iCs/>
        </w:rPr>
        <w:t>mista’arvim</w:t>
      </w:r>
      <w:r w:rsidRPr="008D0607">
        <w:rPr>
          <w:rFonts w:ascii="Times New Roman" w:hAnsi="Times New Roman" w:cs="Times New Roman"/>
        </w:rPr>
        <w:t>, ou seja, “aqueles que se disfarçam de árabes”, cumprem serviço como agentes infiltrados em comunidades palestinianas ou em países árabes vizinhos e as suas missões mais comuns são a recolha de informação, a desestabilização política e a execução de assassínios seletivos (MOUSSA, 18 abr. 2022). A sua apresentação como “aqueles que se disfarçam de árabes”, ou seja, aqueles para quem ser árabe é apenas um ato performativo restrito no tempo e espaço, descreve na perfeição a cisão produzida pelo Sionismo entre árabe e judeu, como se a partilha entre esses dois lugares de pertença constituísse uma impossibilidade ontológica.</w:t>
      </w:r>
    </w:p>
  </w:footnote>
  <w:footnote w:id="84">
    <w:p w14:paraId="70475FA9" w14:textId="77777777" w:rsidR="00FB6B81" w:rsidRPr="008D0607" w:rsidRDefault="00FB6B81" w:rsidP="008D0607">
      <w:pPr>
        <w:spacing w:after="0" w:line="240" w:lineRule="auto"/>
        <w:jc w:val="both"/>
        <w:rPr>
          <w:rFonts w:ascii="Times New Roman" w:eastAsia="Times New Roman" w:hAnsi="Times New Roman" w:cs="Times New Roman"/>
          <w:sz w:val="20"/>
          <w:szCs w:val="20"/>
          <w:lang w:eastAsia="pt-PT"/>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Outra dimensão não abordada neste trabalho, e que diz respeito às últimas décadas de construção de uma identidade israelita, está relacionada com a apropriação superficial e com a mercantilização de algumas práticas culturais dos judeus oriundos do Médio Oriente e do Norte de África. Essa apropriação permite que Israel seja apresentado como uma sociedade multicultural e com raízes na região –a partir de um discurso totalmente apolítico que invisibiliza a violência estrutural (histórica e atual) e o caráter colonial do Estado e da sociedade (ABULHAWA, 20 set. 2017).</w:t>
      </w:r>
    </w:p>
  </w:footnote>
  <w:footnote w:id="85">
    <w:p w14:paraId="7D2DC523"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Essa “máquina” de ressentimento foi, mais tarde, mobilizada eleitoralmente pela direita sionista, que elaborou uma crítica às políticas de acolhimento e integração. Como resultado, em 1977, as comunidades </w:t>
      </w:r>
      <w:r w:rsidRPr="008D0607">
        <w:rPr>
          <w:rFonts w:ascii="Times New Roman" w:hAnsi="Times New Roman" w:cs="Times New Roman"/>
          <w:i/>
          <w:iCs/>
          <w:sz w:val="20"/>
          <w:szCs w:val="20"/>
        </w:rPr>
        <w:t>mizrahim</w:t>
      </w:r>
      <w:r w:rsidRPr="008D0607">
        <w:rPr>
          <w:rFonts w:ascii="Times New Roman" w:hAnsi="Times New Roman" w:cs="Times New Roman"/>
          <w:sz w:val="20"/>
          <w:szCs w:val="20"/>
        </w:rPr>
        <w:t xml:space="preserve"> votariam massivamente contra o partido que estava no poder desde 1948, o </w:t>
      </w:r>
      <w:r w:rsidRPr="008D0607">
        <w:rPr>
          <w:rFonts w:ascii="Times New Roman" w:hAnsi="Times New Roman" w:cs="Times New Roman"/>
          <w:i/>
          <w:iCs/>
          <w:sz w:val="20"/>
          <w:szCs w:val="20"/>
        </w:rPr>
        <w:t>Mapai</w:t>
      </w:r>
      <w:r w:rsidRPr="008D0607">
        <w:rPr>
          <w:rFonts w:ascii="Times New Roman" w:hAnsi="Times New Roman" w:cs="Times New Roman"/>
          <w:sz w:val="20"/>
          <w:szCs w:val="20"/>
        </w:rPr>
        <w:t xml:space="preserve"> (do campo político trabalhista). A alternativa vencedora, representada por Menachem Begin, ofereceu uma saída neoliberal que aprofundou a unidade em torno do projeto colonial, enquanto procurou valorizar a competição entre todos e o mérito individuais. Mesmo que tenha ajudado a mascarar as desigualdades estruturais na sociedade israelita, pela criação de falsas aspirações de ascensão social, este modelo tornou-se hegemónico desde então pela capacidade de conciliar uma ilusão de maior abertura para a diversidade com o fortalecimento do caráter judaico do Estado (CIDOR, 1 fev. 2023).</w:t>
      </w:r>
    </w:p>
  </w:footnote>
  <w:footnote w:id="86">
    <w:p w14:paraId="638181D2" w14:textId="0BEE6D16"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28. O filósofo Paulo Arantes oferece uma lista não exaustiva de visões sobre o que acontecera em junho de 2013. Pode ser encontrada em: Conferência de Abertura (In: Memorial: 10 anos das Jornadas de 2013 no Brasil, Universidade Federal de Alfenas, 18 mar 2024). Disponível em: </w:t>
      </w:r>
      <w:hyperlink r:id="rId15" w:history="1">
        <w:r w:rsidRPr="008D0607">
          <w:rPr>
            <w:rStyle w:val="Hyperlink"/>
            <w:rFonts w:ascii="Times New Roman" w:hAnsi="Times New Roman" w:cs="Times New Roman"/>
            <w:sz w:val="20"/>
            <w:szCs w:val="20"/>
          </w:rPr>
          <w:t>https://www.youtube.com/live/3Q_d-lODI6s?si=At6oK1N4esQwzJzY</w:t>
        </w:r>
      </w:hyperlink>
      <w:r w:rsidRPr="008D0607">
        <w:rPr>
          <w:rFonts w:ascii="Times New Roman" w:hAnsi="Times New Roman" w:cs="Times New Roman"/>
          <w:sz w:val="20"/>
          <w:szCs w:val="20"/>
        </w:rPr>
        <w:t xml:space="preserve">. </w:t>
      </w:r>
    </w:p>
  </w:footnote>
  <w:footnote w:id="87">
    <w:p w14:paraId="7A5E2F46"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Nos termos propostos por André Singer, por “reformismo fraco”, em linhas gerais, entende-se um tipo de política econômico-social implementada durante os anos Lula (2003-2010), a qual permitira a promoção de avanços sociais, sem, contudo, alterar de forma estrutural a distribuição de renda e de poder no país. Entre as suas principais características, destacam-se: (i) priorização da conciliação de classes; (ii) manutenção da gestão econômica neoliberal; (iii) aliança com setores conservadores do sistema político; e (iv) focalização de políticas sociais. Notabilizou-se por, simultaneamente, reproduzir e avançar as contradições brasileiras. Diante da profunda desigualdade, o modelo se explicita por reformas de feição gradual e, portanto, lentas ao enfrentar as iniquidades sociais, prescindindo de mobilização e organização desde baixo. Cf. Singer, 2012.</w:t>
      </w:r>
    </w:p>
  </w:footnote>
  <w:footnote w:id="88">
    <w:p w14:paraId="0A489668"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O “lulismo” consistiria numa espécie de “conciliação pelo alto”. Diz respeito à tentativa de arbitrar os interesses das diferentes classes sociais, a partir do Estado brasileiro. Para tanto, sustenta-se em três eixos: (i) mecanismos de ampliação da participação popular – p.ex., orçamento participativo; (ii) políticas sociais compensatórias – que procuram combater a extrema pobreza, sem alteração profunda na distribuição de renda; e (iii) crescimento econômico com inclusão social. Cf. Singer, 2012.</w:t>
      </w:r>
    </w:p>
  </w:footnote>
  <w:footnote w:id="89">
    <w:p w14:paraId="1DBEBE91"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Indica a composição social heterogênea dos protestos de junho de 2013: presença expressiva da classe média tradicional, assim como de um novo subproletariado – jovens trabalhadores com empregos regulares, mas precarizados. Notara-se a alta escolaridade de parcela significativa dos manifestantes, contrastando com os índices de adultos matriculados no ensino superior, à época. E, ao longo de todo o mês, viu-se o cruzamento de ideologias, pois as manifestações contaram tanto com a atuação de coletivos de esquerda anticapitalistas e horizontais, quanto de novos grupelhos identificados à direita no espectro político. Cf. Singer, 2013.</w:t>
      </w:r>
    </w:p>
  </w:footnote>
  <w:footnote w:id="90">
    <w:p w14:paraId="39A18FA7"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 filósofa Marilena Chaui, por exemplo, revê sua posição no decorrer dos eventos. Se inicialmente considera legítimas as insurreições de junho, ainda naquele mês identifica junho a algo potencialmente desastroso e apolítico. Mudanças de posicionamento, aliás, tornaram-se recorrente em boa parte da </w:t>
      </w:r>
      <w:r w:rsidRPr="008D0607">
        <w:rPr>
          <w:rFonts w:ascii="Times New Roman" w:hAnsi="Times New Roman" w:cs="Times New Roman"/>
          <w:i/>
          <w:iCs/>
          <w:sz w:val="20"/>
          <w:szCs w:val="20"/>
        </w:rPr>
        <w:t>intelligentsia</w:t>
      </w:r>
      <w:r w:rsidRPr="008D0607">
        <w:rPr>
          <w:rFonts w:ascii="Times New Roman" w:hAnsi="Times New Roman" w:cs="Times New Roman"/>
          <w:sz w:val="20"/>
          <w:szCs w:val="20"/>
        </w:rPr>
        <w:t xml:space="preserve"> brasileira acerca das jornadas de junho de 2013. Cf. Chaui, 2013. </w:t>
      </w:r>
    </w:p>
  </w:footnote>
  <w:footnote w:id="91">
    <w:p w14:paraId="0610BE62"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 socióloga Silvia Viana sublinha o fracasso da iniciativa midiática de deslegitimar as insurreições de junho de 2013 taxando-as como “violentas” e “baderneiras”. Diante do apoio popular e da dificuldade de controle de narrativa, a solução encontrada, então, pelo discurso midiático consistiu na reformulação da cobertura dos eventos, operando uma divisão simplista entre manifestações “pacíficas” e “violentas”. Para a autora, a tentativa de enquadrar negativamente os protestos do MPL se deveu justamente à força da organização em interromper o “sagrado ir e vir”, já nos primeiros dias. Cf. Viana, 2013.</w:t>
      </w:r>
    </w:p>
  </w:footnote>
  <w:footnote w:id="92">
    <w:p w14:paraId="4B64585E"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Adeptos dessa corrente consideram o cientista político Gene Sharp, a partir da década de 1980, um dos principais formuladores de intervenções não violentas em países não alinhados à geopolítica norte-americana. A estratégia consistiria em mobilizar as populações desses países em torno de temas de ampla aceitação. Tal mobilização utilizaria expedientes sociais e psicológicos, o que ocasionaria o enfraquecimento e até a deposição, pela via institucional/procedimental, do governo. Cf. Sharp, 2010.</w:t>
      </w:r>
    </w:p>
  </w:footnote>
  <w:footnote w:id="93">
    <w:p w14:paraId="639EF2C6" w14:textId="77777777"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Para uma crítica breve e contundente ao livro de Andrew Korybko (2018), referência no Brasil para aqueles que se subscrevem à hipótese de uma “guerra híbrida”, conferir o comentário de Jonas Medeiros (2020). Além da debilidade teórico-metodológica da obra, haja vista que não contém estudos de caso, entrevistas, trabalho com dados etc., e sim apenas um encadeamento pretensamente lógico de teorias e conceitos, o texto de Korybko mostra-se um mero instrumento de defesa dos interesses da política externa russa. Cf. Medeiros, 2020.</w:t>
      </w:r>
    </w:p>
  </w:footnote>
  <w:footnote w:id="94">
    <w:p w14:paraId="63D493F5"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Para essa corrente, toda regressão democrática que aconteceu no Brasil nos últimos anos é consequência direta ou indireta de junho de 2013. Perspectiva consideravelmente negativa sobre os protestos, pois, para ela, sequer houve disputa pelas ruas, pois já desde sempre esteve contratada – pelo imperialismo – a intenção de desmobilizar a coalizão governista comandada pelo Partido dos Trabalhadores (PT). Sobre os cidadãos identificados politicamente à esquerda que se fizeram presentes nas manifestações, a vertente os considera ludibriados, mesmo porque revoluções coloridas carregam uma feição progressista, embora falsa. Cf. Mendes, 2023, p. 50.</w:t>
      </w:r>
    </w:p>
  </w:footnote>
  <w:footnote w:id="95">
    <w:p w14:paraId="6D3D0BC5" w14:textId="48248C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Em parte, a relevância dessa corrente justifica-se pelo seu grau de adesão. A medida de sua aceitação verifica-se no fato de figura histórica da esquerda brasileira e do Partido dos Trabalhadores (PT), José Genoino, subscrever-se à ideia de “guerra híbrida”. Para o ex-deputado, o ciclo de governos progressistas na América Latina representou uma recusa aos anos de consenso neoliberal. E, ainda que houvesse limitações objetivas e contradições, governos como o do PT simbolizariam um polo contra-hegemônico, resistente à lógica de acumulação desenfreada do capitalismo contemporâneo. Contrariamente a essa resistência que se deu no Brasil, foi levada a cabo, pelos Estados Unidos, uma espécie de contrarrevolução por meio de uma “guerra híbrida”. Em linhas gerais, também para Genoino, teria havido uma série de reivindicações legítimas, mas de sentido deturpado, a partir de 2013, para desgastar a Presidenta Dilma Rousseff. Neste caso, o impeachment de 2016 teve seu preparo com as jornadas de junho de 2013. Cf. Genoino, 2022: 23-24.</w:t>
      </w:r>
    </w:p>
  </w:footnote>
  <w:footnote w:id="96">
    <w:p w14:paraId="59F988BD" w14:textId="19426BEF"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No final do mês de junho de 2013, quando manifestantes trajados de verde-amarelo, com clara inclinação conservadora, destacaram-se nos protestos, houve quem defendesse a ideia de que sucedia um sequestro das mobilizações de esquerda pela direita. Se inicialmente as manifestações consistiam numa revolta do precariado – camada da classe trabalhadora, constituída de jovens escolarizados, mas desempregados ou inseridos em relações de trabalho precárias –, num segundo momento, talvez pelo deslumbre pela cobertura midiática, setores conservadores da classe média brasileira aderiram aos protestos. Por essa visão, pela influência da mídia hegemônica, pautaram-se as manifestações, de sorte a esvaziar da movimentação social do precariado seu aspecto disruptivo. Retirava-se, assim, seu caráter radical de classe. Transformaram-se as manifestações de junho num movimento patriótico, com a pauta vazia do combate à corrupção. Cf. Alonso, 2023: 12.</w:t>
      </w:r>
    </w:p>
  </w:footnote>
  <w:footnote w:id="97">
    <w:p w14:paraId="54FFA462" w14:textId="13B1FA38" w:rsidR="00FB6B81" w:rsidRPr="008D0607" w:rsidRDefault="00FB6B81" w:rsidP="008D0607">
      <w:pPr>
        <w:spacing w:after="0" w:line="240" w:lineRule="au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Camila Rocha identifica a reeleição de Dilma Rousseff (2014) como o instante no qual as direitas emergentes alcançaram maior aderência. Para a autora, as direitas não necessitaram de junho de 2013 para alcançar o poder. Na verdade, as direitas radicalizadas precisavam de que amplos setores da população se insurgissem contra a permanência do Partido dos Trabalhadores (PT) na Presidência da República. Às vésperas das eleições de 2014, portanto, diversos grupos de direita passaram a arregimentar mais pessoas. Mas, segundo a autora, não há continuidade entre os dois momentos. Primeiro, em junho de 2013, as pautas eram diversificadas e, conforme se verá adiante, encontrara-se nas ruas uma espécie de antagonismo contra o sistema político em sua totalidade. Por outro lado, já em 2014 após à reeleição, as manifestações organizadas pelas direitas procuravam, de modo específico, defender a necessidade do impeachment, a contar de um antagonismo direto com o PT. Ademais, há um contraste de perfis. As ruas de junho de 2013, como se viu, foram tomadas, em regra, por manifestantes jovens e oriundos das classes média e trabalhadora. Em 2014, quem se fez presente nos protestos pelo impeachment era, em média, mais velho e possuía alta renda. Cf. Rocha, 2023: 74.</w:t>
      </w:r>
    </w:p>
  </w:footnote>
  <w:footnote w:id="98">
    <w:p w14:paraId="6E5228C1" w14:textId="337A778F"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 tentativa deste texto é arredar-se sobretudo da teleologia – como se a história pudesse resumir-se a um percurso progressivo e unívoco. A contar de uma conhecida lição marxiana, pressupõem-se indeterminação e dinamismo nos processos sociais. Nesse sentido, a agência humana dá-se em um enquadramento opositivo entre forças produtivas e relações de produção. E em meio a delimitações opositivas, há espaço para a ação da subjetividade. Neste caso, é oportuno lembrar que os “[…] homens fazem a sua própria história; contudo, não a fazem de livre e espontânea vontade, pois não são eles quem escolhem as circunstâncias sob as quais ela é feita, mas estas lhes foram transmitidas assim como se encontram” (MARX, 2011:25). </w:t>
      </w:r>
    </w:p>
  </w:footnote>
  <w:footnote w:id="99">
    <w:p w14:paraId="60F25631"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Encarar essa derrota histórica significa sobretudo defrontar-se com os desacertos, revisar as posições anteriores e prescindir de uma defesa integral e implacável do período precedente. É preciso, portanto, nuançar os eventos, as decisões e as escolhas. Trata-se de reconhecer que o desenlace poderia ter sido distinto – já que as pessoas não estavam destinadas a aderir ao discurso da extrema direita. Cf. Nunes, 2022;183.</w:t>
      </w:r>
    </w:p>
  </w:footnote>
  <w:footnote w:id="100">
    <w:p w14:paraId="4BE18D29"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Em uma espécie de autocrítica sobre as jornadas de 2013, então integrantes do Movimento Passe Livre (MPL) discutem os limites da tática de revolta popular, aplicada em junho daquele ano. De curto prazo, incendiárias e descentralizadas, as revoltas tinham como tática contrapor-se à ordem estabelecida pela diminuição da tarifa dos transportes urbanos, sem se dirigir a um representante – de modo a forçar o governo a ceder a fim de reestabelecer a ordem. Sua explosão figura como crítica ao consenso imobilista, afeta a rotina urbana e mobiliza grande energia social. No entanto, alcançado o objetivo – a redução da tarifa –, a revolta reflui. Ressoa como limitação em si mesma, pois, embora carregue o potencial transformador, falta a essa tática continuidade organizacional que aglutine práticas diversas de mobilização. Seria o caso de pensar uma estratégia mais ampla que se enraizasse no cotidiano da classe trabalhadora – e se evitassem, com isso, a armadilha da perda de propósito e a cooptação política reacionária do impulso antissistema. Cf. Revolta popular: o limite da tática (2014).</w:t>
      </w:r>
    </w:p>
  </w:footnote>
  <w:footnote w:id="101">
    <w:p w14:paraId="26F1454C"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Em muitos protestos de junho de 2013, a heterogeneidade dos envolvidos gerou uma série de ambiguidades. Destaca-se a polissemia da palavra de ordem “sem partidos”: (i) para a esquerda não institucional, significava a autonomia dos movimentos; (ii) para os grupos de direita, queria dizer a rejeição das organizações de esquerdas – que detinham o monopólio das manifestações de rua pelo menos desde a redemocratização –; e (iii) para aqueles sem posição político-ideológica definida, representava uma unidade contrária aos governantes em geral. Seja como for, do ponto de vista do campo progressista, não se deve tomar a acepção da esquerda não institucional como uma forma de negação da política, tampouco uma questão definitiva – rejeição integral e sumária de partidos políticos. Na realidade, no sentido da esquerda não institucional, por “sem partido”, entende-se, de modo mais preciso, alguma coisa como “sem partidos aqui e agora”. Por isso mesmo não se obstaculiza aprioristicamente a possibilidade de variadas formas de organização política. Cf. Nunes, 2022; 181. </w:t>
      </w:r>
    </w:p>
  </w:footnote>
  <w:footnote w:id="102">
    <w:p w14:paraId="10FC4190"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Gilberto Carvalho, figura história do Partido dos Trabalhadores (PT), conselheiro pessoal do Presidente Lula, destacada interlocução partidária junto aos movimentos sociais e, à época das insurgências de junho, Ministro-Chefe da Secretaria-Geral da Presidência da República, ficara encarregado de fazer reuniões com grupos manifestantes. O dirigente partidário partilha da ideia de que as manifestações eram antissistema e não simplesmente contrárias ao governo. Cf. Barros, 2022; 313.</w:t>
      </w:r>
    </w:p>
  </w:footnote>
  <w:footnote w:id="103">
    <w:p w14:paraId="386BF9B2"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Em linhas gerais, à esquerda do Partido dos Trabalhadores (PT), ao longo dos anos 2000, consolidaram-se entre os jovens organizações de dois estilos: (a) neossocialistas – insatisfeitos com o pretenso abandono do governo da agenda redistributiva, mantinham algumas estruturas tradicionais de liderança –, cujo exemplo notável é o Movimento dos Trabalhadores Sem-Teto (MTST); e (b) autonomistas/anarquistas – organizados a partir da ideia de horizontalismo – isto é, negavam formas tradicionais de hierarquia política e consideravam legítimas apenas as decisões por consenso. Cf. Alonso, 2023; 65.</w:t>
      </w:r>
    </w:p>
  </w:footnote>
  <w:footnote w:id="104">
    <w:p w14:paraId="2156E6FA"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Não era tarefa fácil para a esquerda institucional compreender a tônica das manifestações. Em primeiro lugar, o Partido dos Trabalhadores (PT) se viu surpreendido, pois já apoiara as reivindicações do MPL contrárias à administração anterior. Além disso, o PT argumentava que o aumento na tarifa dos transportes feito pela gestão de Fernando Haddad fora inferior à inflação. Cf. Barros, 2022; 313. </w:t>
      </w:r>
    </w:p>
  </w:footnote>
  <w:footnote w:id="105">
    <w:p w14:paraId="1DE7B8F9"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O impasse entre se colocar enquanto agente da transformação social e um vetor habituado aos acordos com establishment pode ser observado na tentativa de um plebiscito para autorizar uma Constituinte. Ainda no mês de junho de 2013, a Presidenta da República indicou um de seus ministros para viabilizar tal intenção. Apesar do recesso parlamentar, os Presidentes da Câmara e do Senado reuniram-se com a chefe do Estado e a dissuadiram da ideia. À época, a imprensa também desancou a iniciativa. Cf. Alonso, 2023;. 253.</w:t>
      </w:r>
    </w:p>
  </w:footnote>
  <w:footnote w:id="106">
    <w:p w14:paraId="5DAFEC1E"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Com base na interpretação de Vladimir Safatle, tudo isso mostrava, de modo claro, a inoperância da esquerda governista em responder à dinâmica de politização insurrecional daquele momento. Ademais, como um todo, revelou-se inábil em produzir uma alternativa. Ao fim e ao cabo, a esquerda brasileira retornou aos limites da atuação nos moldes de coalizão e conciliação, comuns àqueles anos. Ainda segundo o autor, se as primeiras reações dos setores majoritários do campo progressista brasileiro em relação às insurreições de junho foram a desqualificação ou o espanto, evidencia-se a incapacidade de o campo progressista criar uma hegemonia dentro dos processos insurrecionais nascidos na rua; faltou, assim, ultrapassar o momento para impor uma pauta mais avançada e aprofundada das questões socioeconômicas. Faltou à esquerda brasileira protagonizar a aceleração, ou seja, como base de uma estratégia de hegemonia, radicalizar as demandas. Cf. Safatle, 2023; 105-107.</w:t>
      </w:r>
    </w:p>
  </w:footnote>
  <w:footnote w:id="107">
    <w:p w14:paraId="41021590"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Acompanhando o raciocínio de Rodrigo Nunes, seria o caso de a esquerda não institucional antagonizar com o sistema político em sua integralidade, sem, contudo, eliminar completamente as suas clivagens. Ainda que fosse notável a identificação do PT ao establishment, assim como sua opção por desacreditar as jornadas, mesmo neste caso subsistiam diferenças qualitativas do partido em relação às demais siglas. Cf. Nunes, 2022; 186-187.</w:t>
      </w:r>
    </w:p>
  </w:footnote>
  <w:footnote w:id="108">
    <w:p w14:paraId="080206EA"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Esse encadeamento torna-se mais problemático à medida que o desenrolar subsequente da crise da democracia brasileira – partir da reeleição de Dilma Roussef em 2014 – demonstra que o impulso antissistema, por assim dizer, das novas direitas que se propuseram a sair às ruas traslada-se para a extrema direita. Cf. Nobre, 2022; 131.</w:t>
      </w:r>
    </w:p>
  </w:footnote>
  <w:footnote w:id="109">
    <w:p w14:paraId="50CFEB11"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Tratar os questionamentos à </w:t>
      </w:r>
      <w:r w:rsidRPr="008D0607">
        <w:rPr>
          <w:rFonts w:ascii="Times New Roman" w:hAnsi="Times New Roman" w:cs="Times New Roman"/>
          <w:i/>
          <w:iCs/>
        </w:rPr>
        <w:t>Realpolitik</w:t>
      </w:r>
      <w:r w:rsidRPr="008D0607">
        <w:rPr>
          <w:rFonts w:ascii="Times New Roman" w:hAnsi="Times New Roman" w:cs="Times New Roman"/>
        </w:rPr>
        <w:t xml:space="preserve"> praticada pela esquerda institucional como atitudes da ordem da irracionalidade, da ingenuidade e da utopia, impede justamente a possibilidade de tomar lições e realizar autocrítica. Cf. Nunes, 2022, p. 162.</w:t>
      </w:r>
    </w:p>
  </w:footnote>
  <w:footnote w:id="110">
    <w:p w14:paraId="5379BD85"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Em vez da tentativa de um salto qualitativo adiante, a institucionalidade política, inclusive de esquerda, costuma insistir em posições defensivas, as quais almejam um retorno à situação política precedente, cujo esteio material, contudo, encerrou-se. Cf. Nobre, 2022. 29. </w:t>
      </w:r>
    </w:p>
  </w:footnote>
  <w:footnote w:id="111">
    <w:p w14:paraId="00688910"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Fugiria ao escopo deste artigo refazer em detalhe o percurso macroeconômico do período que vai de 2003 até, pelo menos, 2013. Para uma hipótese sobre os acertos e os desacertos da periodização indicada, ver </w:t>
      </w:r>
      <w:r w:rsidRPr="008D0607">
        <w:rPr>
          <w:rFonts w:ascii="Times New Roman" w:hAnsi="Times New Roman" w:cs="Times New Roman"/>
          <w:i/>
          <w:iCs/>
        </w:rPr>
        <w:t xml:space="preserve">Valsa brasileira </w:t>
      </w:r>
      <w:r w:rsidRPr="008D0607">
        <w:rPr>
          <w:rFonts w:ascii="Times New Roman" w:hAnsi="Times New Roman" w:cs="Times New Roman"/>
        </w:rPr>
        <w:t>(2018), de Laura Carvalho.</w:t>
      </w:r>
    </w:p>
  </w:footnote>
  <w:footnote w:id="112">
    <w:p w14:paraId="455ED3F3"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Apoiando-se sucintamente no estudo desenvolvido por Leda Paulani (2009), observou-se a transformação profunda do capitalismo no destaque à natureza financeira do processo de acumulação desde a década de 1980 – i.e., a predominância da financeirização no processo de acumulação. Nessa relação, a produção de riqueza real (bens e serviços) subordinara-se à lógica da valorização financeira, com a maximização do “valor acionário” como seu principal objetivo. A implicação principal seria a desvinculação do capital financeiro das necessidades de produção e geração de riqueza. Traço distintivo desse modelo é o enorme crescimento do estoque de ativos financeiros – a uma velocidade superior ao crescimento da renda e da riqueza real. Resultara daí a demanda incontrolável por valorização financeira – que ocasiona crises recorrentes. No caso brasileiro, sua inserção na economia mundial, nas últimas décadas, fortalecera os setores rentistas nacionais, a partir da elevação dos juros reais – o que implicara a diminuição da taxa de acumulação de capital fixo produtivo. O arranjo macroeconômico brasileiro, com investimento alavancado por crédito, não parecia sustentável a longo prazo. O resultado consistiria na vulnerabilidade da economia e na propensão a crises. Cf. Paulani, 2009; 34. </w:t>
      </w:r>
    </w:p>
  </w:footnote>
  <w:footnote w:id="113">
    <w:p w14:paraId="61F5E067"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Explicita-se o social-desenvolvimentismo enquanto modelo de sociedade que ensaiou se consolidar após o período Fernando Henrique Cardoso, durante a década de 2000, especialmente nos governos Lula. Em contraste com o nacional-desenvolvimentismo que o precedeu, o social-desenvolvimentismo, priorizando a democracia, surge como projeto distinto, cuja ênfase encontra-se na questão distributiva e no enfrentamento das desigualdades de renda. A ideia inicial era que sua formulação não tomasse os elevados padrões de desigualdade como inevitáveis. Em que pesem as intenções, a plena expansão do social-desenvolvimentismo, ao que tudo indica, foi obstruída pela cultura política contra a qual ele próprio fora moldado. Cf. Nobre, 2013; 24.</w:t>
      </w:r>
    </w:p>
  </w:footnote>
  <w:footnote w:id="114">
    <w:p w14:paraId="30AEB074" w14:textId="29FE7145"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Vladimir Safatle parece concordar de certa forma com Rodrigo Nunes, e Mario Fuks e Clarice Mendonça (Cf. 2015), já que se valem de conceito já presente nos escritos de Alexis de Tocqueville. Para os autores, é preciso rever o lugar-comum de que as pessoas saem às ruas para protestar somente quando suas condições de subsistência alcançam um patamar intolerável. Se é possível afirmar que houve melhora nos indicadores sociais do período, mais produtivo é pensar em termos de “privação/frustração relativa” (Cf. TOCQUEVILLE, 2009: 194) – quer dizer: indivíduos se mobilizam, não porque fazem um cômputo das circunstâncias anteriores e constatam que se acham em desvantagem, mas, na realidade, observam o estado de coisas e comparam com a situação em que gostariam de se encontrar. Por isso, faz sentido dizer que “[…] as pessoas reagem a </w:t>
      </w:r>
      <w:r w:rsidRPr="008D0607">
        <w:rPr>
          <w:rFonts w:ascii="Times New Roman" w:hAnsi="Times New Roman" w:cs="Times New Roman"/>
          <w:i/>
          <w:iCs/>
          <w:sz w:val="20"/>
          <w:szCs w:val="20"/>
        </w:rPr>
        <w:t>mudanças de estado</w:t>
      </w:r>
      <w:r w:rsidRPr="008D0607">
        <w:rPr>
          <w:rFonts w:ascii="Times New Roman" w:hAnsi="Times New Roman" w:cs="Times New Roman"/>
          <w:sz w:val="20"/>
          <w:szCs w:val="20"/>
        </w:rPr>
        <w:t>” (NUNES, 2022: 176). No entremeio, classes sociais que entraram em processo de ascensão social enxergam suas expectativas frustradas – conjunto de promessas instigadas não redundam em algo real e efetivo. Frustração, portanto, ao que se esperava alcançar.</w:t>
      </w:r>
    </w:p>
  </w:footnote>
  <w:footnote w:id="115">
    <w:p w14:paraId="38B40E3C"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Ainda de acordo com Leda Paulani (2009) acerca do período iniciado em 2003, o crédito, sobretudo o crédito consignado, fora decisivo para estabilizar os níveis de consumo – o que realça a importância da acumulação financeira na economia brasileira. Por outo lado, embora o consumo mantivera ativa a economia, faltara alguma vitalidade para impulsioná-la. Nesse sentido, o consumo baseado em crédito mostrara-se insustentável a longo prazo, refletindo um desequilíbrio macroeconômico típico da financeirização. Em outros termos, o problema principal reside no fato de o consumo não possuir o dinamismo necessário para alavancar a economia, à diferença do investimento. Cf. Paulani, 2009; 35.</w:t>
      </w:r>
    </w:p>
  </w:footnote>
  <w:footnote w:id="116">
    <w:p w14:paraId="6E92E132"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Não sem razão o ano de 2013 registra a maior quantidade de greves de trabalhadores até então, numa série histórica a contar de 1978, segundo os dados do Departamento Intersindical de Estatística e Estudos Socioeconômicos (Dieese). Cf. Dieese, n. 79, 2015. Vladimir Safatle (2023, p. 103) interpreta esse ciclo de greves como fenômeno sintomático: trabalhadores que, por não se reconhecerem na representação política e sindical, procuraram externar sua insatisfação e sua precariedade. Por isso, segundo o autor, fica constatado que narrativas que comumente vinculam 2013 a uma sedição de classe média não se sustentam.</w:t>
      </w:r>
    </w:p>
  </w:footnote>
  <w:footnote w:id="117">
    <w:p w14:paraId="13D62D5C" w14:textId="77777777" w:rsidR="00FB6B81" w:rsidRPr="008D0607" w:rsidRDefault="00FB6B81" w:rsidP="008D0607">
      <w:pPr>
        <w:pStyle w:val="Textodenotaderodap"/>
        <w:jc w:val="both"/>
        <w:rPr>
          <w:rFonts w:ascii="Times New Roman" w:hAnsi="Times New Roman" w:cs="Times New Roman"/>
        </w:rPr>
      </w:pPr>
      <w:r w:rsidRPr="008D0607">
        <w:rPr>
          <w:rStyle w:val="Refdenotaderodap"/>
          <w:rFonts w:ascii="Times New Roman" w:hAnsi="Times New Roman" w:cs="Times New Roman"/>
        </w:rPr>
        <w:footnoteRef/>
      </w:r>
      <w:r w:rsidRPr="008D0607">
        <w:rPr>
          <w:rFonts w:ascii="Times New Roman" w:hAnsi="Times New Roman" w:cs="Times New Roman"/>
        </w:rPr>
        <w:t xml:space="preserve"> Relatório do Dieese sugere que, mesmo em meio a indicadores econômicos favoráveis, o horizonte de expectativas contribui para a acentuada deflagração de greves no período de 2012 a 2015. A ideia subjacente às mobilizações grevistas é a de que o cenário econômico favorável, se não correspondeu às expectativas geradas, deveria, ao menos, permanecer. Cf. Dieese, n. 84, 2017.</w:t>
      </w:r>
    </w:p>
  </w:footnote>
  <w:footnote w:id="118">
    <w:p w14:paraId="1A96CF02"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Acompanha-se a formulação de Paulo Arantes (2004b). O autor identifica o “pensamento único” à ideologia neoliberal dominante, que surpreendentemente guarda semelhanças com exteriorizações de certa vulgata marxista. A realidade ôntica, neste caso, parece arremedar formas caricaturais do marxismo. A ideia de haver uma única alternativa – desregulamentação, fiscalismo, austeridade etc. – enfatiza o economicismo em última instância, celebrando-o enquanto imperativo natural. A crítica esquerdista torna-se, então, redundante, pois o referido “pensamento único” apropria-se de sua linguagem e a utiliza como justificação da exploração e da desigualdade. Se outrora a verve marxista residia na denúncia da disparidade entre os ideais burgueses e a realidade da exploração capitalista, o “pensamento único” opera uma inversão ideológica: a procura por justiça social figura como ilusória, de modo que a única realidade consiste na lei aterradora do mercado. Segundo Arantes, certa intelectualidade de esquerda encontra-se distraída, já que, em vez de combater a inversão, termina por reforçá-la – tão acostumada a espraiar o economicismo simplista. Cf. Arantes, 2004b.</w:t>
      </w:r>
    </w:p>
  </w:footnote>
  <w:footnote w:id="119">
    <w:p w14:paraId="26903620" w14:textId="77777777" w:rsidR="00FB6B81" w:rsidRPr="008D0607" w:rsidRDefault="00FB6B81" w:rsidP="008D0607">
      <w:pPr>
        <w:pStyle w:val="SemEspaamento"/>
        <w:jc w:val="both"/>
        <w:rPr>
          <w:rFonts w:ascii="Times New Roman" w:hAnsi="Times New Roman" w:cs="Times New Roman"/>
          <w:sz w:val="20"/>
          <w:szCs w:val="20"/>
        </w:rPr>
      </w:pPr>
      <w:r w:rsidRPr="008D0607">
        <w:rPr>
          <w:rStyle w:val="Refdenotaderodap"/>
          <w:rFonts w:ascii="Times New Roman" w:hAnsi="Times New Roman" w:cs="Times New Roman"/>
          <w:sz w:val="20"/>
          <w:szCs w:val="20"/>
        </w:rPr>
        <w:footnoteRef/>
      </w:r>
      <w:r w:rsidRPr="008D0607">
        <w:rPr>
          <w:rFonts w:ascii="Times New Roman" w:hAnsi="Times New Roman" w:cs="Times New Roman"/>
          <w:sz w:val="20"/>
          <w:szCs w:val="20"/>
        </w:rPr>
        <w:t xml:space="preserve"> Em seu conhecido texto “Esquerdismo, doença infantil do comunismo”, Lênin confronta o posicionamento intransigente de certos militantes. Estes, em nome de uma suposta pureza ideológica, negavam-se a atuar em sindicatos e parlamentos, recusando explorar cada fenda da ordem burguesa para mobilizar as massas na jornada revolucionária. Seria o caso de observar se, nos idos dos anos 2000, a atuação da esquerda brasileira, com a adesão integral aos processos de participativos de gestão pública e a assunção acrítica de sua mencionada fraseologia, parecia constituir o reverso da antiga lição leninista. Em vez de procurar nas fraturas oferecidas do engendramento capitalista pelos canais de participação as oportunidades reais de mobilização, adotou-se a retórica do Terceiro Setor, sem questionar a razão de ser da ortodoxia econômica. Cf. Lenin, 1977.</w:t>
      </w:r>
    </w:p>
  </w:footnote>
  <w:footnote w:id="120">
    <w:p w14:paraId="05793E86" w14:textId="1D4F97B4"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(TERENA; BAIRRÃO, 2023: 2).</w:t>
      </w:r>
    </w:p>
  </w:footnote>
  <w:footnote w:id="121">
    <w:p w14:paraId="17604671" w14:textId="77777777"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“vida”</w:t>
      </w:r>
    </w:p>
  </w:footnote>
  <w:footnote w:id="122">
    <w:p w14:paraId="637B1386" w14:textId="5DB9BE64"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A concepção de alienação, neste contexto, remonta a ideia marxista de que o sujeito, educado de maneira fragmentada e técnica, perde a conexão com o produto de seu trabalho e com o entendimento mais amplo das questões sociais e políticas que o cercam. Logo, se desloca da posição de agente transformador da sociedade e passa a ser apenas mais um executor de tarefas, em um processo que limita sua transcendência a condição de proletariado (ALVES, 2013:58-59).</w:t>
      </w:r>
    </w:p>
  </w:footnote>
  <w:footnote w:id="123">
    <w:p w14:paraId="03A8D78C" w14:textId="437D798F"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“O sujeito é constituído a partir de imposições que lhe são exteriores, sendo compreendido como um produto das relações de saber e de poder; por outro, o sujeito é constituído a partir de relações intersubjetivas em que há espaço para a manifestação … e criação de si” (CASTANHEIRA, [s. d.], p.1). Logo, a excessiva disciplinarização, imposta pela estrutura educacional, e o treinamento para o trabalho, não favorece o desenvolvimento do pensamento crítico, sujeitando os indivíduos a reproduzirem apenas as normas sociais.</w:t>
      </w:r>
    </w:p>
  </w:footnote>
  <w:footnote w:id="124">
    <w:p w14:paraId="7F61BD7E" w14:textId="77777777"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A educação foi organizada de maneira a ser funcional, a princípio incitava a produção de vida produzindo instituições de ensino voltadas à produção de seres docilizados, ou seja, obedientes aos comportamentos, pensamentos e padrões da norma vigente. À vista disso, o investimento em habilidades básicas como leitura, escrita e aritmética, como também a construção de virtudes como controle de atividade, gestão de tempo e pontualidade refletiam a necessidade de preparar pessoas para um regime de trabalho rígido e repetitivo, em ambientes de produção massiva.</w:t>
      </w:r>
    </w:p>
  </w:footnote>
  <w:footnote w:id="125">
    <w:p w14:paraId="63AF8E58" w14:textId="77777777"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O termo “a ausência de qualidade em meios escolares” não se atém apenas ao conhecimento transmitido, mas abrange a ausência de infraestrutura de qualidade, haja vista a presença de salas de aula mal conservadas, falta de ventilação, mobiliário quebrado, a ausência de recursos básicos como água potável e iluminação adequada, a falta de material complementar pedagógico, como livros, equipamentos de informática, lousas adequadas, além do uso de métodos inadequados, conteúdos desatualizados ou desconexos com a realidade, etc.</w:t>
      </w:r>
    </w:p>
  </w:footnote>
  <w:footnote w:id="126">
    <w:p w14:paraId="60F4C4AC" w14:textId="77777777"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Estabelece as diretrizes e bases da educação nacional, para incluir no currículo oficial da Rede de Ensino a obrigatoriedade da temática "História e Cultura Afro-Brasileira".</w:t>
      </w:r>
    </w:p>
  </w:footnote>
  <w:footnote w:id="127">
    <w:p w14:paraId="2929DA3F" w14:textId="77777777"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Tem o objetivo de implementar ações e programas educacionais voltados à superação das desigualdades étnico-raciais e do racismo nos ambientes de ensino, bem como à promoção da política educacional para a população quilombola.</w:t>
      </w:r>
    </w:p>
  </w:footnote>
  <w:footnote w:id="128">
    <w:p w14:paraId="45A65B9B" w14:textId="77777777" w:rsidR="00FB6B81" w:rsidRPr="008D0607" w:rsidRDefault="00FB6B81" w:rsidP="008D0607">
      <w:pPr>
        <w:pStyle w:val="Textodenotaderodap"/>
        <w:jc w:val="both"/>
        <w:rPr>
          <w:rFonts w:ascii="Times New Roman" w:hAnsi="Times New Roman" w:cs="Times New Roman"/>
          <w:lang w:val="pt-BR"/>
        </w:rPr>
      </w:pPr>
      <w:r w:rsidRPr="008D0607">
        <w:rPr>
          <w:rStyle w:val="Refdenotaderodap"/>
          <w:rFonts w:ascii="Times New Roman" w:hAnsi="Times New Roman" w:cs="Times New Roman"/>
        </w:rPr>
        <w:footnoteRef/>
      </w:r>
      <w:r w:rsidRPr="008D0607">
        <w:rPr>
          <w:rFonts w:ascii="Times New Roman" w:hAnsi="Times New Roman" w:cs="Times New Roman"/>
        </w:rPr>
        <w:t xml:space="preserve"> No contexto brasileiro, devido a popularização das redes sociais, a produção de conteúdo massificado-não comprovado e facilmente manipulado tem alimentado uma grande onda de desinformação, conhecido como o fenômeno das "fake news".O neofacismo, por sua vez, se apoia na instabilidade de informações veiculadas para potencializar a polarização social e, mais ainda, encontrar sujeitos que se identifiquem com suas ideologias e busquem aderir ao movimento. A criação de um ambiente de radicalização, coloca em risco a convivência democrática e potencializa a precursão de expressões de ódio, especialmente as minorias. Desse modo, é comum que discurso contra os direitos das populações negras e indígenas, de mulheres, de sujeitos LGBTQIA+ e a qualquer movimento social que se desprenda das lógicas de grupos supremacistas se torne vulnerável, nas medida em que o preconceito e a desigualdade são banalizados e, frequentemente, tornam os sujeitos suscetíveis a absorverem e reproduzem ideologias incoerentes e deturpadas.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FF15E" w14:textId="77777777" w:rsidR="00FB6B81" w:rsidRDefault="00FB6B81" w:rsidP="00B62AF4">
    <w:pPr>
      <w:pBdr>
        <w:left w:val="single" w:sz="4" w:space="31" w:color="000000"/>
      </w:pBdr>
      <w:tabs>
        <w:tab w:val="center" w:pos="4252"/>
        <w:tab w:val="right" w:pos="8504"/>
      </w:tabs>
      <w:spacing w:line="360" w:lineRule="auto"/>
      <w:ind w:left="-567"/>
      <w:rPr>
        <w:rFonts w:ascii="Times New Roman" w:eastAsia="Times New Roman" w:hAnsi="Times New Roman" w:cs="Times New Roman"/>
        <w:b/>
        <w:sz w:val="20"/>
        <w:szCs w:val="20"/>
      </w:rPr>
    </w:pPr>
    <w:r>
      <w:rPr>
        <w:noProof/>
      </w:rPr>
      <w:drawing>
        <wp:anchor distT="0" distB="0" distL="0" distR="0" simplePos="0" relativeHeight="251659264" behindDoc="1" locked="0" layoutInCell="1" allowOverlap="1" wp14:anchorId="6D7C437E" wp14:editId="53362831">
          <wp:simplePos x="0" y="0"/>
          <wp:positionH relativeFrom="margin">
            <wp:posOffset>4333240</wp:posOffset>
          </wp:positionH>
          <wp:positionV relativeFrom="margin">
            <wp:posOffset>-1089660</wp:posOffset>
          </wp:positionV>
          <wp:extent cx="1541780" cy="704850"/>
          <wp:effectExtent l="0" t="0" r="127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704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0"/>
        <w:szCs w:val="20"/>
      </w:rPr>
      <w:t xml:space="preserve">Revista Estudos Anarquistas e Decoloniais </w:t>
    </w:r>
  </w:p>
  <w:p w14:paraId="591B6B27" w14:textId="77777777" w:rsidR="00FB6B81" w:rsidRDefault="00FB6B81" w:rsidP="00B62AF4">
    <w:pPr>
      <w:pBdr>
        <w:left w:val="single" w:sz="4" w:space="31" w:color="000000"/>
      </w:pBdr>
      <w:tabs>
        <w:tab w:val="center" w:pos="4252"/>
        <w:tab w:val="right" w:pos="8504"/>
      </w:tabs>
      <w:spacing w:line="360" w:lineRule="auto"/>
      <w:ind w:left="-567"/>
      <w:rPr>
        <w:rFonts w:ascii="Times New Roman" w:eastAsia="Times New Roman" w:hAnsi="Times New Roman" w:cs="Times New Roman"/>
        <w:b/>
        <w:sz w:val="20"/>
        <w:szCs w:val="20"/>
      </w:rPr>
    </w:pPr>
    <w:r>
      <w:rPr>
        <w:rFonts w:ascii="Times New Roman" w:eastAsia="Times New Roman" w:hAnsi="Times New Roman" w:cs="Times New Roman"/>
        <w:b/>
        <w:sz w:val="20"/>
        <w:szCs w:val="20"/>
      </w:rPr>
      <w:t>v. 5, n. 9, 2º semestre/2025</w:t>
    </w:r>
  </w:p>
  <w:p w14:paraId="0BEAA65D" w14:textId="77777777" w:rsidR="00FB6B81" w:rsidRDefault="00FB6B81" w:rsidP="00B62AF4">
    <w:pPr>
      <w:pBdr>
        <w:left w:val="single" w:sz="4" w:space="31" w:color="000000"/>
      </w:pBdr>
      <w:tabs>
        <w:tab w:val="center" w:pos="4252"/>
        <w:tab w:val="right" w:pos="8504"/>
      </w:tabs>
      <w:spacing w:line="360" w:lineRule="auto"/>
      <w:ind w:left="-567"/>
      <w:rPr>
        <w:rFonts w:ascii="Times New Roman" w:eastAsia="Times New Roman" w:hAnsi="Times New Roman" w:cs="Times New Roman"/>
        <w:b/>
        <w:sz w:val="20"/>
        <w:szCs w:val="20"/>
      </w:rPr>
    </w:pPr>
    <w:r>
      <w:rPr>
        <w:rFonts w:ascii="Times New Roman" w:eastAsia="Times New Roman" w:hAnsi="Times New Roman" w:cs="Times New Roman"/>
        <w:b/>
        <w:sz w:val="20"/>
        <w:szCs w:val="20"/>
      </w:rPr>
      <w:t>ISSN 2764-7854</w:t>
    </w:r>
  </w:p>
  <w:p w14:paraId="43FD068A" w14:textId="77777777" w:rsidR="00FB6B81" w:rsidRDefault="00FB6B8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16E06" w14:textId="77777777" w:rsidR="00FB6B81" w:rsidRDefault="00FB6B81" w:rsidP="0035031B">
    <w:pPr>
      <w:pBdr>
        <w:left w:val="single" w:sz="4" w:space="31" w:color="000000"/>
      </w:pBdr>
      <w:tabs>
        <w:tab w:val="center" w:pos="4252"/>
        <w:tab w:val="right" w:pos="8504"/>
      </w:tabs>
      <w:spacing w:line="360" w:lineRule="auto"/>
      <w:ind w:left="-567"/>
      <w:rPr>
        <w:rFonts w:ascii="Times New Roman" w:eastAsia="Times New Roman" w:hAnsi="Times New Roman" w:cs="Times New Roman"/>
        <w:b/>
        <w:sz w:val="20"/>
        <w:szCs w:val="20"/>
      </w:rPr>
    </w:pPr>
    <w:r>
      <w:rPr>
        <w:noProof/>
      </w:rPr>
      <w:drawing>
        <wp:anchor distT="0" distB="0" distL="0" distR="0" simplePos="0" relativeHeight="251661312" behindDoc="1" locked="0" layoutInCell="1" allowOverlap="1" wp14:anchorId="4C7BB6E2" wp14:editId="4123E4C7">
          <wp:simplePos x="0" y="0"/>
          <wp:positionH relativeFrom="margin">
            <wp:posOffset>4333240</wp:posOffset>
          </wp:positionH>
          <wp:positionV relativeFrom="margin">
            <wp:posOffset>-1089660</wp:posOffset>
          </wp:positionV>
          <wp:extent cx="1541780" cy="704850"/>
          <wp:effectExtent l="0" t="0" r="127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704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0"/>
        <w:szCs w:val="20"/>
      </w:rPr>
      <w:t xml:space="preserve">Revista Estudos Anarquistas e Decoloniais </w:t>
    </w:r>
  </w:p>
  <w:p w14:paraId="2336C2FC" w14:textId="77777777" w:rsidR="00FB6B81" w:rsidRDefault="00FB6B81" w:rsidP="0035031B">
    <w:pPr>
      <w:pBdr>
        <w:left w:val="single" w:sz="4" w:space="31" w:color="000000"/>
      </w:pBdr>
      <w:tabs>
        <w:tab w:val="center" w:pos="4252"/>
        <w:tab w:val="right" w:pos="8504"/>
      </w:tabs>
      <w:spacing w:line="360" w:lineRule="auto"/>
      <w:ind w:left="-567"/>
      <w:rPr>
        <w:rFonts w:ascii="Times New Roman" w:eastAsia="Times New Roman" w:hAnsi="Times New Roman" w:cs="Times New Roman"/>
        <w:b/>
        <w:sz w:val="20"/>
        <w:szCs w:val="20"/>
      </w:rPr>
    </w:pPr>
    <w:r>
      <w:rPr>
        <w:rFonts w:ascii="Times New Roman" w:eastAsia="Times New Roman" w:hAnsi="Times New Roman" w:cs="Times New Roman"/>
        <w:b/>
        <w:sz w:val="20"/>
        <w:szCs w:val="20"/>
      </w:rPr>
      <w:t>v. 5, n. 9, 2º semestre/2025</w:t>
    </w:r>
  </w:p>
  <w:p w14:paraId="06E2F91E" w14:textId="77777777" w:rsidR="00FB6B81" w:rsidRDefault="00FB6B81" w:rsidP="0035031B">
    <w:pPr>
      <w:pBdr>
        <w:left w:val="single" w:sz="4" w:space="31" w:color="000000"/>
      </w:pBdr>
      <w:tabs>
        <w:tab w:val="center" w:pos="4252"/>
        <w:tab w:val="right" w:pos="8504"/>
      </w:tabs>
      <w:spacing w:line="360" w:lineRule="auto"/>
      <w:ind w:left="-567"/>
      <w:rPr>
        <w:rFonts w:ascii="Times New Roman" w:eastAsia="Times New Roman" w:hAnsi="Times New Roman" w:cs="Times New Roman"/>
        <w:b/>
        <w:sz w:val="20"/>
        <w:szCs w:val="20"/>
      </w:rPr>
    </w:pPr>
    <w:r>
      <w:rPr>
        <w:rFonts w:ascii="Times New Roman" w:eastAsia="Times New Roman" w:hAnsi="Times New Roman" w:cs="Times New Roman"/>
        <w:b/>
        <w:sz w:val="20"/>
        <w:szCs w:val="20"/>
      </w:rPr>
      <w:t>ISSN 2764-7854</w:t>
    </w:r>
  </w:p>
  <w:p w14:paraId="19984FB1" w14:textId="77777777" w:rsidR="00FB6B81" w:rsidRDefault="00FB6B81" w:rsidP="0035031B">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4287"/>
    <w:multiLevelType w:val="hybridMultilevel"/>
    <w:tmpl w:val="00A640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F1643D"/>
    <w:multiLevelType w:val="hybridMultilevel"/>
    <w:tmpl w:val="EB2C74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BD6131"/>
    <w:multiLevelType w:val="multilevel"/>
    <w:tmpl w:val="B454866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B61E6A"/>
    <w:multiLevelType w:val="hybridMultilevel"/>
    <w:tmpl w:val="36F81BA2"/>
    <w:lvl w:ilvl="0" w:tplc="98B62DDE">
      <w:start w:val="1"/>
      <w:numFmt w:val="bullet"/>
      <w:lvlText w:val=""/>
      <w:lvlJc w:val="left"/>
      <w:pPr>
        <w:ind w:left="1429" w:hanging="360"/>
      </w:pPr>
      <w:rPr>
        <w:rFonts w:ascii="Symbol" w:hAnsi="Symbol" w:hint="default"/>
        <w:b/>
        <w:bCs w:val="0"/>
        <w:color w:val="auto"/>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20FD327A"/>
    <w:multiLevelType w:val="hybridMultilevel"/>
    <w:tmpl w:val="670240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8B01FBA"/>
    <w:multiLevelType w:val="hybridMultilevel"/>
    <w:tmpl w:val="859EA5C6"/>
    <w:lvl w:ilvl="0" w:tplc="BE24F5D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E204DDD"/>
    <w:multiLevelType w:val="hybridMultilevel"/>
    <w:tmpl w:val="149C2ADA"/>
    <w:lvl w:ilvl="0" w:tplc="E6E0B98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C512348"/>
    <w:multiLevelType w:val="hybridMultilevel"/>
    <w:tmpl w:val="1F485F06"/>
    <w:lvl w:ilvl="0" w:tplc="6A04ABD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F7941C0"/>
    <w:multiLevelType w:val="hybridMultilevel"/>
    <w:tmpl w:val="CA78EE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EDE72EF"/>
    <w:multiLevelType w:val="hybridMultilevel"/>
    <w:tmpl w:val="C6C864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F012AC6"/>
    <w:multiLevelType w:val="hybridMultilevel"/>
    <w:tmpl w:val="40265B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2E2AB6"/>
    <w:multiLevelType w:val="hybridMultilevel"/>
    <w:tmpl w:val="697E94B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2" w15:restartNumberingAfterBreak="0">
    <w:nsid w:val="5231592D"/>
    <w:multiLevelType w:val="hybridMultilevel"/>
    <w:tmpl w:val="5D529E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4102446"/>
    <w:multiLevelType w:val="multilevel"/>
    <w:tmpl w:val="8BB650F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4830008"/>
    <w:multiLevelType w:val="hybridMultilevel"/>
    <w:tmpl w:val="E23E13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EBF0E74"/>
    <w:multiLevelType w:val="hybridMultilevel"/>
    <w:tmpl w:val="E766B4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04E4A57"/>
    <w:multiLevelType w:val="hybridMultilevel"/>
    <w:tmpl w:val="BB1EEF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5140F0F"/>
    <w:multiLevelType w:val="multilevel"/>
    <w:tmpl w:val="93DCE54A"/>
    <w:lvl w:ilvl="0">
      <w:start w:val="1"/>
      <w:numFmt w:val="decimal"/>
      <w:lvlText w:val="%1."/>
      <w:lvlJc w:val="left"/>
      <w:pPr>
        <w:ind w:left="502" w:hanging="360"/>
      </w:pPr>
    </w:lvl>
    <w:lvl w:ilvl="1">
      <w:start w:val="1"/>
      <w:numFmt w:val="decimal"/>
      <w:isLgl/>
      <w:lvlText w:val="%1.%2."/>
      <w:lvlJc w:val="left"/>
      <w:pPr>
        <w:ind w:left="862" w:hanging="720"/>
      </w:pPr>
    </w:lvl>
    <w:lvl w:ilvl="2">
      <w:start w:val="1"/>
      <w:numFmt w:val="decimal"/>
      <w:isLgl/>
      <w:lvlText w:val="%1.%2.%3."/>
      <w:lvlJc w:val="left"/>
      <w:pPr>
        <w:ind w:left="862" w:hanging="720"/>
      </w:pPr>
    </w:lvl>
    <w:lvl w:ilvl="3">
      <w:start w:val="1"/>
      <w:numFmt w:val="decimal"/>
      <w:isLgl/>
      <w:lvlText w:val="%1.%2.%3.%4."/>
      <w:lvlJc w:val="left"/>
      <w:pPr>
        <w:ind w:left="1222" w:hanging="1080"/>
      </w:pPr>
    </w:lvl>
    <w:lvl w:ilvl="4">
      <w:start w:val="1"/>
      <w:numFmt w:val="decimal"/>
      <w:isLgl/>
      <w:lvlText w:val="%1.%2.%3.%4.%5."/>
      <w:lvlJc w:val="left"/>
      <w:pPr>
        <w:ind w:left="1222" w:hanging="1080"/>
      </w:pPr>
    </w:lvl>
    <w:lvl w:ilvl="5">
      <w:start w:val="1"/>
      <w:numFmt w:val="decimal"/>
      <w:isLgl/>
      <w:lvlText w:val="%1.%2.%3.%4.%5.%6."/>
      <w:lvlJc w:val="left"/>
      <w:pPr>
        <w:ind w:left="1582" w:hanging="1440"/>
      </w:pPr>
    </w:lvl>
    <w:lvl w:ilvl="6">
      <w:start w:val="1"/>
      <w:numFmt w:val="decimal"/>
      <w:isLgl/>
      <w:lvlText w:val="%1.%2.%3.%4.%5.%6.%7."/>
      <w:lvlJc w:val="left"/>
      <w:pPr>
        <w:ind w:left="1582" w:hanging="1440"/>
      </w:pPr>
    </w:lvl>
    <w:lvl w:ilvl="7">
      <w:start w:val="1"/>
      <w:numFmt w:val="decimal"/>
      <w:isLgl/>
      <w:lvlText w:val="%1.%2.%3.%4.%5.%6.%7.%8."/>
      <w:lvlJc w:val="left"/>
      <w:pPr>
        <w:ind w:left="1942" w:hanging="1800"/>
      </w:pPr>
    </w:lvl>
    <w:lvl w:ilvl="8">
      <w:start w:val="1"/>
      <w:numFmt w:val="decimal"/>
      <w:isLgl/>
      <w:lvlText w:val="%1.%2.%3.%4.%5.%6.%7.%8.%9."/>
      <w:lvlJc w:val="left"/>
      <w:pPr>
        <w:ind w:left="1942" w:hanging="1800"/>
      </w:pPr>
    </w:lvl>
  </w:abstractNum>
  <w:abstractNum w:abstractNumId="18" w15:restartNumberingAfterBreak="0">
    <w:nsid w:val="65291221"/>
    <w:multiLevelType w:val="multilevel"/>
    <w:tmpl w:val="62C6A9D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1"/>
  </w:num>
  <w:num w:numId="2">
    <w:abstractNumId w:val="8"/>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14"/>
  </w:num>
  <w:num w:numId="7">
    <w:abstractNumId w:val="2"/>
  </w:num>
  <w:num w:numId="8">
    <w:abstractNumId w:val="7"/>
  </w:num>
  <w:num w:numId="9">
    <w:abstractNumId w:val="9"/>
  </w:num>
  <w:num w:numId="10">
    <w:abstractNumId w:val="1"/>
  </w:num>
  <w:num w:numId="11">
    <w:abstractNumId w:val="0"/>
  </w:num>
  <w:num w:numId="12">
    <w:abstractNumId w:val="16"/>
  </w:num>
  <w:num w:numId="13">
    <w:abstractNumId w:val="13"/>
  </w:num>
  <w:num w:numId="14">
    <w:abstractNumId w:val="12"/>
  </w:num>
  <w:num w:numId="15">
    <w:abstractNumId w:val="15"/>
  </w:num>
  <w:num w:numId="16">
    <w:abstractNumId w:val="3"/>
  </w:num>
  <w:num w:numId="17">
    <w:abstractNumId w:val="18"/>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AF4"/>
    <w:rsid w:val="0000155C"/>
    <w:rsid w:val="0000246F"/>
    <w:rsid w:val="0003001E"/>
    <w:rsid w:val="00036E58"/>
    <w:rsid w:val="000371DC"/>
    <w:rsid w:val="000442B7"/>
    <w:rsid w:val="00047046"/>
    <w:rsid w:val="0007060A"/>
    <w:rsid w:val="00070A67"/>
    <w:rsid w:val="00077EC6"/>
    <w:rsid w:val="00092FA4"/>
    <w:rsid w:val="000A4928"/>
    <w:rsid w:val="000B2542"/>
    <w:rsid w:val="000B3E15"/>
    <w:rsid w:val="000B6A7F"/>
    <w:rsid w:val="000C63E2"/>
    <w:rsid w:val="000D42F2"/>
    <w:rsid w:val="00100A33"/>
    <w:rsid w:val="001021E4"/>
    <w:rsid w:val="00107B6F"/>
    <w:rsid w:val="001140F5"/>
    <w:rsid w:val="00114B53"/>
    <w:rsid w:val="0011799D"/>
    <w:rsid w:val="00133569"/>
    <w:rsid w:val="001648F1"/>
    <w:rsid w:val="00175D30"/>
    <w:rsid w:val="00186565"/>
    <w:rsid w:val="00193D9B"/>
    <w:rsid w:val="001A47A7"/>
    <w:rsid w:val="001A610F"/>
    <w:rsid w:val="001C128D"/>
    <w:rsid w:val="001C5B7E"/>
    <w:rsid w:val="001D681E"/>
    <w:rsid w:val="001E60B2"/>
    <w:rsid w:val="001F42E8"/>
    <w:rsid w:val="001F6577"/>
    <w:rsid w:val="00205267"/>
    <w:rsid w:val="002052CB"/>
    <w:rsid w:val="00207E27"/>
    <w:rsid w:val="002102D9"/>
    <w:rsid w:val="0021194E"/>
    <w:rsid w:val="00234544"/>
    <w:rsid w:val="002458C4"/>
    <w:rsid w:val="00251B78"/>
    <w:rsid w:val="0025248A"/>
    <w:rsid w:val="00265B74"/>
    <w:rsid w:val="002736E3"/>
    <w:rsid w:val="00273C3B"/>
    <w:rsid w:val="0027481C"/>
    <w:rsid w:val="002973B6"/>
    <w:rsid w:val="002A2BBA"/>
    <w:rsid w:val="002A4418"/>
    <w:rsid w:val="002A7C29"/>
    <w:rsid w:val="002B0AEC"/>
    <w:rsid w:val="002B6E55"/>
    <w:rsid w:val="002B7D03"/>
    <w:rsid w:val="002C2E01"/>
    <w:rsid w:val="002C6A41"/>
    <w:rsid w:val="002F02FC"/>
    <w:rsid w:val="002F349C"/>
    <w:rsid w:val="00304668"/>
    <w:rsid w:val="00315A1A"/>
    <w:rsid w:val="003452D9"/>
    <w:rsid w:val="00346C73"/>
    <w:rsid w:val="0035031B"/>
    <w:rsid w:val="00355D09"/>
    <w:rsid w:val="00364499"/>
    <w:rsid w:val="00372F4A"/>
    <w:rsid w:val="00373025"/>
    <w:rsid w:val="0037517B"/>
    <w:rsid w:val="0038379B"/>
    <w:rsid w:val="003865A3"/>
    <w:rsid w:val="003966B1"/>
    <w:rsid w:val="003B4B44"/>
    <w:rsid w:val="003C15AC"/>
    <w:rsid w:val="003C5B38"/>
    <w:rsid w:val="003C5D77"/>
    <w:rsid w:val="003D252C"/>
    <w:rsid w:val="003E207B"/>
    <w:rsid w:val="003E5E38"/>
    <w:rsid w:val="003F1C39"/>
    <w:rsid w:val="003F5FC1"/>
    <w:rsid w:val="004176F0"/>
    <w:rsid w:val="004223B5"/>
    <w:rsid w:val="004458C4"/>
    <w:rsid w:val="00450914"/>
    <w:rsid w:val="00455E09"/>
    <w:rsid w:val="0046573B"/>
    <w:rsid w:val="0046747D"/>
    <w:rsid w:val="00476063"/>
    <w:rsid w:val="004A4984"/>
    <w:rsid w:val="004B73FB"/>
    <w:rsid w:val="004C1362"/>
    <w:rsid w:val="004C209A"/>
    <w:rsid w:val="004C696D"/>
    <w:rsid w:val="004C6C8E"/>
    <w:rsid w:val="004D5E77"/>
    <w:rsid w:val="004D7F98"/>
    <w:rsid w:val="004F31F7"/>
    <w:rsid w:val="00505ABC"/>
    <w:rsid w:val="005112C5"/>
    <w:rsid w:val="005113D7"/>
    <w:rsid w:val="00512799"/>
    <w:rsid w:val="005162F7"/>
    <w:rsid w:val="00527492"/>
    <w:rsid w:val="00527A9B"/>
    <w:rsid w:val="005304E3"/>
    <w:rsid w:val="00553CA3"/>
    <w:rsid w:val="00566EC5"/>
    <w:rsid w:val="00577AF8"/>
    <w:rsid w:val="00581C3F"/>
    <w:rsid w:val="005C1A92"/>
    <w:rsid w:val="005E5E1B"/>
    <w:rsid w:val="005F65D6"/>
    <w:rsid w:val="00623E2A"/>
    <w:rsid w:val="00631AEE"/>
    <w:rsid w:val="00653723"/>
    <w:rsid w:val="006651D2"/>
    <w:rsid w:val="0068054B"/>
    <w:rsid w:val="00683B29"/>
    <w:rsid w:val="00691697"/>
    <w:rsid w:val="006921B9"/>
    <w:rsid w:val="00694B2C"/>
    <w:rsid w:val="006A1368"/>
    <w:rsid w:val="006D2A8A"/>
    <w:rsid w:val="006D502D"/>
    <w:rsid w:val="006D5A67"/>
    <w:rsid w:val="006E414C"/>
    <w:rsid w:val="006F0D3E"/>
    <w:rsid w:val="006F29C6"/>
    <w:rsid w:val="006F3215"/>
    <w:rsid w:val="006F5587"/>
    <w:rsid w:val="007008B8"/>
    <w:rsid w:val="00700FEF"/>
    <w:rsid w:val="00706BEE"/>
    <w:rsid w:val="007157FB"/>
    <w:rsid w:val="007263DE"/>
    <w:rsid w:val="00727726"/>
    <w:rsid w:val="00733347"/>
    <w:rsid w:val="00737198"/>
    <w:rsid w:val="007652D0"/>
    <w:rsid w:val="00766CFF"/>
    <w:rsid w:val="00781834"/>
    <w:rsid w:val="00782C42"/>
    <w:rsid w:val="00785244"/>
    <w:rsid w:val="007A46E2"/>
    <w:rsid w:val="007A7624"/>
    <w:rsid w:val="007B39AD"/>
    <w:rsid w:val="007B6228"/>
    <w:rsid w:val="007C3DCB"/>
    <w:rsid w:val="007E0BC6"/>
    <w:rsid w:val="007E4240"/>
    <w:rsid w:val="00831F70"/>
    <w:rsid w:val="00833900"/>
    <w:rsid w:val="00836BFF"/>
    <w:rsid w:val="00840B37"/>
    <w:rsid w:val="00845ECF"/>
    <w:rsid w:val="00850E20"/>
    <w:rsid w:val="008605E8"/>
    <w:rsid w:val="00862050"/>
    <w:rsid w:val="008848F8"/>
    <w:rsid w:val="0089436B"/>
    <w:rsid w:val="008A7B7A"/>
    <w:rsid w:val="008B16A0"/>
    <w:rsid w:val="008C0FBF"/>
    <w:rsid w:val="008C28B7"/>
    <w:rsid w:val="008D0607"/>
    <w:rsid w:val="008D098C"/>
    <w:rsid w:val="008D2676"/>
    <w:rsid w:val="008E03BB"/>
    <w:rsid w:val="008E075E"/>
    <w:rsid w:val="009034E2"/>
    <w:rsid w:val="00912EFB"/>
    <w:rsid w:val="00915785"/>
    <w:rsid w:val="00940D17"/>
    <w:rsid w:val="00951F4C"/>
    <w:rsid w:val="0095709E"/>
    <w:rsid w:val="00991039"/>
    <w:rsid w:val="009928F3"/>
    <w:rsid w:val="009A18B7"/>
    <w:rsid w:val="009A3447"/>
    <w:rsid w:val="009A758E"/>
    <w:rsid w:val="009B53C7"/>
    <w:rsid w:val="009B69F9"/>
    <w:rsid w:val="009D5EE4"/>
    <w:rsid w:val="009E1496"/>
    <w:rsid w:val="009E3A67"/>
    <w:rsid w:val="00A05829"/>
    <w:rsid w:val="00A10E92"/>
    <w:rsid w:val="00A150E3"/>
    <w:rsid w:val="00A7709C"/>
    <w:rsid w:val="00A81C5F"/>
    <w:rsid w:val="00AB71AD"/>
    <w:rsid w:val="00AC77E6"/>
    <w:rsid w:val="00AD0A09"/>
    <w:rsid w:val="00AD38D5"/>
    <w:rsid w:val="00AD7588"/>
    <w:rsid w:val="00AE0EF3"/>
    <w:rsid w:val="00AE13D0"/>
    <w:rsid w:val="00B02468"/>
    <w:rsid w:val="00B02D24"/>
    <w:rsid w:val="00B06CE2"/>
    <w:rsid w:val="00B1099D"/>
    <w:rsid w:val="00B201DA"/>
    <w:rsid w:val="00B2160B"/>
    <w:rsid w:val="00B24A7C"/>
    <w:rsid w:val="00B30551"/>
    <w:rsid w:val="00B37D1F"/>
    <w:rsid w:val="00B4441E"/>
    <w:rsid w:val="00B5729C"/>
    <w:rsid w:val="00B579BF"/>
    <w:rsid w:val="00B62AF4"/>
    <w:rsid w:val="00B70754"/>
    <w:rsid w:val="00B70F57"/>
    <w:rsid w:val="00B7193A"/>
    <w:rsid w:val="00BA223F"/>
    <w:rsid w:val="00BC182D"/>
    <w:rsid w:val="00BC6201"/>
    <w:rsid w:val="00BE7751"/>
    <w:rsid w:val="00BF0D4A"/>
    <w:rsid w:val="00BF44F5"/>
    <w:rsid w:val="00C17799"/>
    <w:rsid w:val="00C23542"/>
    <w:rsid w:val="00C24FED"/>
    <w:rsid w:val="00C27F74"/>
    <w:rsid w:val="00C53FEB"/>
    <w:rsid w:val="00C601FB"/>
    <w:rsid w:val="00C627F1"/>
    <w:rsid w:val="00C91A5B"/>
    <w:rsid w:val="00CA5118"/>
    <w:rsid w:val="00CA7CF7"/>
    <w:rsid w:val="00CB7716"/>
    <w:rsid w:val="00CC085E"/>
    <w:rsid w:val="00CC5C9A"/>
    <w:rsid w:val="00CC62B6"/>
    <w:rsid w:val="00CF37B1"/>
    <w:rsid w:val="00CF6E98"/>
    <w:rsid w:val="00D1184E"/>
    <w:rsid w:val="00D1455A"/>
    <w:rsid w:val="00D1600A"/>
    <w:rsid w:val="00D211A8"/>
    <w:rsid w:val="00D40E0F"/>
    <w:rsid w:val="00D42AA5"/>
    <w:rsid w:val="00D43899"/>
    <w:rsid w:val="00D548EB"/>
    <w:rsid w:val="00D6257B"/>
    <w:rsid w:val="00D668D0"/>
    <w:rsid w:val="00D6748C"/>
    <w:rsid w:val="00D75AE6"/>
    <w:rsid w:val="00D828CC"/>
    <w:rsid w:val="00D84DEE"/>
    <w:rsid w:val="00D95950"/>
    <w:rsid w:val="00D969C8"/>
    <w:rsid w:val="00DA15ED"/>
    <w:rsid w:val="00DA7641"/>
    <w:rsid w:val="00DC1416"/>
    <w:rsid w:val="00DC7604"/>
    <w:rsid w:val="00DC7975"/>
    <w:rsid w:val="00DD0675"/>
    <w:rsid w:val="00DD089F"/>
    <w:rsid w:val="00DD480E"/>
    <w:rsid w:val="00DE2B40"/>
    <w:rsid w:val="00DE61BE"/>
    <w:rsid w:val="00DE64E2"/>
    <w:rsid w:val="00DE71F5"/>
    <w:rsid w:val="00DF4643"/>
    <w:rsid w:val="00DF4947"/>
    <w:rsid w:val="00E11C3C"/>
    <w:rsid w:val="00E17D18"/>
    <w:rsid w:val="00E3166E"/>
    <w:rsid w:val="00E34BCD"/>
    <w:rsid w:val="00E44444"/>
    <w:rsid w:val="00E61665"/>
    <w:rsid w:val="00E61D0D"/>
    <w:rsid w:val="00E6401F"/>
    <w:rsid w:val="00E71487"/>
    <w:rsid w:val="00E72D08"/>
    <w:rsid w:val="00E73EF4"/>
    <w:rsid w:val="00E83AC6"/>
    <w:rsid w:val="00E97948"/>
    <w:rsid w:val="00EC4A80"/>
    <w:rsid w:val="00EE3B6B"/>
    <w:rsid w:val="00EF4A4B"/>
    <w:rsid w:val="00F04661"/>
    <w:rsid w:val="00F06A73"/>
    <w:rsid w:val="00F122DC"/>
    <w:rsid w:val="00F1451E"/>
    <w:rsid w:val="00F26E3D"/>
    <w:rsid w:val="00F4085C"/>
    <w:rsid w:val="00F61854"/>
    <w:rsid w:val="00F642D2"/>
    <w:rsid w:val="00F731EF"/>
    <w:rsid w:val="00FA77DB"/>
    <w:rsid w:val="00FB5FC1"/>
    <w:rsid w:val="00FB6B81"/>
    <w:rsid w:val="00FC37AA"/>
    <w:rsid w:val="00FD36B3"/>
    <w:rsid w:val="00FD4537"/>
    <w:rsid w:val="00FF4391"/>
    <w:rsid w:val="00FF4AC8"/>
    <w:rsid w:val="00FF7A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A819D"/>
  <w15:chartTrackingRefBased/>
  <w15:docId w15:val="{B8DA2D7D-C277-42C1-91CF-98155470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A15ED"/>
    <w:pPr>
      <w:keepNext/>
      <w:keepLines/>
      <w:spacing w:before="240" w:after="0" w:line="256" w:lineRule="auto"/>
      <w:outlineLvl w:val="0"/>
    </w:pPr>
    <w:rPr>
      <w:rFonts w:asciiTheme="majorHAnsi" w:eastAsiaTheme="majorEastAsia" w:hAnsiTheme="majorHAnsi" w:cstheme="majorBidi"/>
      <w:color w:val="2F5496" w:themeColor="accent1" w:themeShade="BF"/>
      <w:kern w:val="2"/>
      <w:sz w:val="32"/>
      <w:szCs w:val="32"/>
      <w:lang w:val="pt-PT"/>
      <w14:ligatures w14:val="standardContextual"/>
    </w:rPr>
  </w:style>
  <w:style w:type="paragraph" w:styleId="Ttulo2">
    <w:name w:val="heading 2"/>
    <w:basedOn w:val="Normal"/>
    <w:next w:val="Normal"/>
    <w:link w:val="Ttulo2Char"/>
    <w:uiPriority w:val="9"/>
    <w:semiHidden/>
    <w:unhideWhenUsed/>
    <w:qFormat/>
    <w:rsid w:val="00DA15ED"/>
    <w:pPr>
      <w:keepNext/>
      <w:keepLines/>
      <w:spacing w:before="40" w:after="0" w:line="256" w:lineRule="auto"/>
      <w:outlineLvl w:val="1"/>
    </w:pPr>
    <w:rPr>
      <w:rFonts w:asciiTheme="majorHAnsi" w:eastAsiaTheme="majorEastAsia" w:hAnsiTheme="majorHAnsi" w:cstheme="majorBidi"/>
      <w:color w:val="2F5496" w:themeColor="accent1" w:themeShade="BF"/>
      <w:kern w:val="2"/>
      <w:sz w:val="26"/>
      <w:szCs w:val="26"/>
      <w:lang w:val="pt-PT"/>
      <w14:ligatures w14:val="standardContextual"/>
    </w:rPr>
  </w:style>
  <w:style w:type="paragraph" w:styleId="Ttulo3">
    <w:name w:val="heading 3"/>
    <w:basedOn w:val="Normal"/>
    <w:next w:val="Normal"/>
    <w:link w:val="Ttulo3Char"/>
    <w:uiPriority w:val="9"/>
    <w:semiHidden/>
    <w:unhideWhenUsed/>
    <w:qFormat/>
    <w:rsid w:val="00D438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DD089F"/>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har"/>
    <w:uiPriority w:val="9"/>
    <w:semiHidden/>
    <w:unhideWhenUsed/>
    <w:qFormat/>
    <w:rsid w:val="00DD089F"/>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har"/>
    <w:uiPriority w:val="9"/>
    <w:semiHidden/>
    <w:unhideWhenUsed/>
    <w:qFormat/>
    <w:rsid w:val="00DD089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har"/>
    <w:uiPriority w:val="9"/>
    <w:semiHidden/>
    <w:unhideWhenUsed/>
    <w:qFormat/>
    <w:rsid w:val="00DD089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har"/>
    <w:uiPriority w:val="9"/>
    <w:semiHidden/>
    <w:unhideWhenUsed/>
    <w:qFormat/>
    <w:rsid w:val="00DD089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har"/>
    <w:uiPriority w:val="9"/>
    <w:semiHidden/>
    <w:unhideWhenUsed/>
    <w:qFormat/>
    <w:rsid w:val="00DD089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62AF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2AF4"/>
  </w:style>
  <w:style w:type="paragraph" w:styleId="Rodap">
    <w:name w:val="footer"/>
    <w:basedOn w:val="Normal"/>
    <w:link w:val="RodapChar"/>
    <w:uiPriority w:val="99"/>
    <w:unhideWhenUsed/>
    <w:rsid w:val="00B62AF4"/>
    <w:pPr>
      <w:tabs>
        <w:tab w:val="center" w:pos="4252"/>
        <w:tab w:val="right" w:pos="8504"/>
      </w:tabs>
      <w:spacing w:after="0" w:line="240" w:lineRule="auto"/>
    </w:pPr>
  </w:style>
  <w:style w:type="character" w:customStyle="1" w:styleId="RodapChar">
    <w:name w:val="Rodapé Char"/>
    <w:basedOn w:val="Fontepargpadro"/>
    <w:link w:val="Rodap"/>
    <w:uiPriority w:val="99"/>
    <w:rsid w:val="00B62AF4"/>
  </w:style>
  <w:style w:type="character" w:styleId="Forte">
    <w:name w:val="Strong"/>
    <w:basedOn w:val="Fontepargpadro"/>
    <w:uiPriority w:val="22"/>
    <w:qFormat/>
    <w:rsid w:val="00B62AF4"/>
    <w:rPr>
      <w:b/>
      <w:bCs/>
    </w:rPr>
  </w:style>
  <w:style w:type="character" w:styleId="Hyperlink">
    <w:name w:val="Hyperlink"/>
    <w:basedOn w:val="Fontepargpadro"/>
    <w:uiPriority w:val="99"/>
    <w:unhideWhenUsed/>
    <w:rsid w:val="00B62AF4"/>
    <w:rPr>
      <w:color w:val="0000FF"/>
      <w:u w:val="single"/>
    </w:rPr>
  </w:style>
  <w:style w:type="paragraph" w:styleId="Textodenotaderodap">
    <w:name w:val="footnote text"/>
    <w:basedOn w:val="Normal"/>
    <w:link w:val="TextodenotaderodapChar"/>
    <w:uiPriority w:val="99"/>
    <w:unhideWhenUsed/>
    <w:qFormat/>
    <w:rsid w:val="00B62AF4"/>
    <w:pPr>
      <w:spacing w:after="0" w:line="240" w:lineRule="auto"/>
    </w:pPr>
    <w:rPr>
      <w:sz w:val="20"/>
      <w:szCs w:val="20"/>
      <w:lang w:val="pt-PT"/>
    </w:rPr>
  </w:style>
  <w:style w:type="character" w:customStyle="1" w:styleId="TextodenotaderodapChar">
    <w:name w:val="Texto de nota de rodapé Char"/>
    <w:basedOn w:val="Fontepargpadro"/>
    <w:link w:val="Textodenotaderodap"/>
    <w:uiPriority w:val="99"/>
    <w:qFormat/>
    <w:rsid w:val="00B62AF4"/>
    <w:rPr>
      <w:sz w:val="20"/>
      <w:szCs w:val="20"/>
      <w:lang w:val="pt-PT"/>
    </w:rPr>
  </w:style>
  <w:style w:type="paragraph" w:styleId="Legenda">
    <w:name w:val="caption"/>
    <w:basedOn w:val="Normal"/>
    <w:next w:val="Normal"/>
    <w:uiPriority w:val="35"/>
    <w:unhideWhenUsed/>
    <w:qFormat/>
    <w:rsid w:val="00B62AF4"/>
    <w:pPr>
      <w:spacing w:after="200" w:line="240" w:lineRule="auto"/>
    </w:pPr>
    <w:rPr>
      <w:i/>
      <w:iCs/>
      <w:color w:val="44546A" w:themeColor="text2"/>
      <w:sz w:val="18"/>
      <w:szCs w:val="18"/>
      <w:lang w:val="pt-PT"/>
    </w:rPr>
  </w:style>
  <w:style w:type="paragraph" w:styleId="PargrafodaLista">
    <w:name w:val="List Paragraph"/>
    <w:basedOn w:val="Normal"/>
    <w:uiPriority w:val="34"/>
    <w:qFormat/>
    <w:rsid w:val="00B62AF4"/>
    <w:pPr>
      <w:spacing w:line="256" w:lineRule="auto"/>
      <w:ind w:left="720"/>
      <w:contextualSpacing/>
    </w:pPr>
    <w:rPr>
      <w:lang w:val="pt-PT"/>
    </w:rPr>
  </w:style>
  <w:style w:type="character" w:styleId="Refdenotaderodap">
    <w:name w:val="footnote reference"/>
    <w:basedOn w:val="Fontepargpadro"/>
    <w:uiPriority w:val="99"/>
    <w:semiHidden/>
    <w:unhideWhenUsed/>
    <w:qFormat/>
    <w:rsid w:val="00B62AF4"/>
    <w:rPr>
      <w:vertAlign w:val="superscript"/>
    </w:rPr>
  </w:style>
  <w:style w:type="character" w:styleId="nfase">
    <w:name w:val="Emphasis"/>
    <w:basedOn w:val="Fontepargpadro"/>
    <w:uiPriority w:val="20"/>
    <w:qFormat/>
    <w:rsid w:val="00B62AF4"/>
    <w:rPr>
      <w:i/>
      <w:iCs/>
    </w:rPr>
  </w:style>
  <w:style w:type="character" w:styleId="MenoPendente">
    <w:name w:val="Unresolved Mention"/>
    <w:basedOn w:val="Fontepargpadro"/>
    <w:uiPriority w:val="99"/>
    <w:semiHidden/>
    <w:unhideWhenUsed/>
    <w:rsid w:val="00B37D1F"/>
    <w:rPr>
      <w:color w:val="605E5C"/>
      <w:shd w:val="clear" w:color="auto" w:fill="E1DFDD"/>
    </w:rPr>
  </w:style>
  <w:style w:type="character" w:customStyle="1" w:styleId="Ttulo1Char">
    <w:name w:val="Título 1 Char"/>
    <w:basedOn w:val="Fontepargpadro"/>
    <w:link w:val="Ttulo1"/>
    <w:uiPriority w:val="9"/>
    <w:rsid w:val="00DA15ED"/>
    <w:rPr>
      <w:rFonts w:asciiTheme="majorHAnsi" w:eastAsiaTheme="majorEastAsia" w:hAnsiTheme="majorHAnsi" w:cstheme="majorBidi"/>
      <w:color w:val="2F5496" w:themeColor="accent1" w:themeShade="BF"/>
      <w:kern w:val="2"/>
      <w:sz w:val="32"/>
      <w:szCs w:val="32"/>
      <w:lang w:val="pt-PT"/>
      <w14:ligatures w14:val="standardContextual"/>
    </w:rPr>
  </w:style>
  <w:style w:type="character" w:customStyle="1" w:styleId="Ttulo2Char">
    <w:name w:val="Título 2 Char"/>
    <w:basedOn w:val="Fontepargpadro"/>
    <w:link w:val="Ttulo2"/>
    <w:uiPriority w:val="9"/>
    <w:semiHidden/>
    <w:rsid w:val="00DA15ED"/>
    <w:rPr>
      <w:rFonts w:asciiTheme="majorHAnsi" w:eastAsiaTheme="majorEastAsia" w:hAnsiTheme="majorHAnsi" w:cstheme="majorBidi"/>
      <w:color w:val="2F5496" w:themeColor="accent1" w:themeShade="BF"/>
      <w:kern w:val="2"/>
      <w:sz w:val="26"/>
      <w:szCs w:val="26"/>
      <w:lang w:val="pt-PT"/>
      <w14:ligatures w14:val="standardContextual"/>
    </w:rPr>
  </w:style>
  <w:style w:type="paragraph" w:styleId="SemEspaamento">
    <w:name w:val="No Spacing"/>
    <w:uiPriority w:val="1"/>
    <w:qFormat/>
    <w:rsid w:val="00DA15ED"/>
    <w:pPr>
      <w:spacing w:after="0" w:line="240" w:lineRule="auto"/>
    </w:pPr>
    <w:rPr>
      <w:kern w:val="2"/>
      <w:lang w:val="pt-PT"/>
      <w14:ligatures w14:val="standardContextual"/>
    </w:rPr>
  </w:style>
  <w:style w:type="character" w:styleId="Refdecomentrio">
    <w:name w:val="annotation reference"/>
    <w:basedOn w:val="Fontepargpadro"/>
    <w:uiPriority w:val="99"/>
    <w:semiHidden/>
    <w:unhideWhenUsed/>
    <w:rsid w:val="002736E3"/>
    <w:rPr>
      <w:sz w:val="16"/>
      <w:szCs w:val="16"/>
    </w:rPr>
  </w:style>
  <w:style w:type="character" w:customStyle="1" w:styleId="Ttulo3Char">
    <w:name w:val="Título 3 Char"/>
    <w:basedOn w:val="Fontepargpadro"/>
    <w:link w:val="Ttulo3"/>
    <w:uiPriority w:val="9"/>
    <w:semiHidden/>
    <w:rsid w:val="00D43899"/>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semiHidden/>
    <w:rsid w:val="00DD089F"/>
    <w:rPr>
      <w:rFonts w:eastAsiaTheme="majorEastAsia" w:cstheme="majorBidi"/>
      <w:i/>
      <w:iCs/>
      <w:color w:val="2F5496" w:themeColor="accent1" w:themeShade="BF"/>
      <w:kern w:val="2"/>
      <w:sz w:val="24"/>
      <w:szCs w:val="24"/>
      <w14:ligatures w14:val="standardContextual"/>
    </w:rPr>
  </w:style>
  <w:style w:type="character" w:customStyle="1" w:styleId="Ttulo5Char">
    <w:name w:val="Título 5 Char"/>
    <w:basedOn w:val="Fontepargpadro"/>
    <w:link w:val="Ttulo5"/>
    <w:uiPriority w:val="9"/>
    <w:semiHidden/>
    <w:rsid w:val="00DD089F"/>
    <w:rPr>
      <w:rFonts w:eastAsiaTheme="majorEastAsia" w:cstheme="majorBidi"/>
      <w:color w:val="2F5496" w:themeColor="accent1" w:themeShade="BF"/>
      <w:kern w:val="2"/>
      <w:sz w:val="24"/>
      <w:szCs w:val="24"/>
      <w14:ligatures w14:val="standardContextual"/>
    </w:rPr>
  </w:style>
  <w:style w:type="character" w:customStyle="1" w:styleId="Ttulo6Char">
    <w:name w:val="Título 6 Char"/>
    <w:basedOn w:val="Fontepargpadro"/>
    <w:link w:val="Ttulo6"/>
    <w:uiPriority w:val="9"/>
    <w:semiHidden/>
    <w:rsid w:val="00DD089F"/>
    <w:rPr>
      <w:rFonts w:eastAsiaTheme="majorEastAsia" w:cstheme="majorBidi"/>
      <w:i/>
      <w:iCs/>
      <w:color w:val="595959" w:themeColor="text1" w:themeTint="A6"/>
      <w:kern w:val="2"/>
      <w:sz w:val="24"/>
      <w:szCs w:val="24"/>
      <w14:ligatures w14:val="standardContextual"/>
    </w:rPr>
  </w:style>
  <w:style w:type="character" w:customStyle="1" w:styleId="Ttulo7Char">
    <w:name w:val="Título 7 Char"/>
    <w:basedOn w:val="Fontepargpadro"/>
    <w:link w:val="Ttulo7"/>
    <w:uiPriority w:val="9"/>
    <w:semiHidden/>
    <w:rsid w:val="00DD089F"/>
    <w:rPr>
      <w:rFonts w:eastAsiaTheme="majorEastAsia" w:cstheme="majorBidi"/>
      <w:color w:val="595959" w:themeColor="text1" w:themeTint="A6"/>
      <w:kern w:val="2"/>
      <w:sz w:val="24"/>
      <w:szCs w:val="24"/>
      <w14:ligatures w14:val="standardContextual"/>
    </w:rPr>
  </w:style>
  <w:style w:type="character" w:customStyle="1" w:styleId="Ttulo8Char">
    <w:name w:val="Título 8 Char"/>
    <w:basedOn w:val="Fontepargpadro"/>
    <w:link w:val="Ttulo8"/>
    <w:uiPriority w:val="9"/>
    <w:semiHidden/>
    <w:rsid w:val="00DD089F"/>
    <w:rPr>
      <w:rFonts w:eastAsiaTheme="majorEastAsia" w:cstheme="majorBidi"/>
      <w:i/>
      <w:iCs/>
      <w:color w:val="272727" w:themeColor="text1" w:themeTint="D8"/>
      <w:kern w:val="2"/>
      <w:sz w:val="24"/>
      <w:szCs w:val="24"/>
      <w14:ligatures w14:val="standardContextual"/>
    </w:rPr>
  </w:style>
  <w:style w:type="character" w:customStyle="1" w:styleId="Ttulo9Char">
    <w:name w:val="Título 9 Char"/>
    <w:basedOn w:val="Fontepargpadro"/>
    <w:link w:val="Ttulo9"/>
    <w:uiPriority w:val="9"/>
    <w:semiHidden/>
    <w:rsid w:val="00DD089F"/>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har"/>
    <w:uiPriority w:val="10"/>
    <w:qFormat/>
    <w:rsid w:val="00DD089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DD089F"/>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har"/>
    <w:uiPriority w:val="11"/>
    <w:qFormat/>
    <w:rsid w:val="00DD089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DD089F"/>
    <w:rPr>
      <w:rFonts w:eastAsiaTheme="majorEastAsia" w:cstheme="majorBidi"/>
      <w:color w:val="595959" w:themeColor="text1" w:themeTint="A6"/>
      <w:spacing w:val="15"/>
      <w:kern w:val="2"/>
      <w:sz w:val="28"/>
      <w:szCs w:val="28"/>
      <w14:ligatures w14:val="standardContextual"/>
    </w:rPr>
  </w:style>
  <w:style w:type="paragraph" w:styleId="Citao">
    <w:name w:val="Quote"/>
    <w:basedOn w:val="Normal"/>
    <w:next w:val="Normal"/>
    <w:link w:val="CitaoChar"/>
    <w:uiPriority w:val="29"/>
    <w:qFormat/>
    <w:rsid w:val="00DD089F"/>
    <w:pPr>
      <w:spacing w:before="160" w:line="278" w:lineRule="auto"/>
      <w:jc w:val="center"/>
    </w:pPr>
    <w:rPr>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DD089F"/>
    <w:rPr>
      <w:i/>
      <w:iCs/>
      <w:color w:val="404040" w:themeColor="text1" w:themeTint="BF"/>
      <w:kern w:val="2"/>
      <w:sz w:val="24"/>
      <w:szCs w:val="24"/>
      <w14:ligatures w14:val="standardContextual"/>
    </w:rPr>
  </w:style>
  <w:style w:type="character" w:styleId="nfaseIntensa">
    <w:name w:val="Intense Emphasis"/>
    <w:basedOn w:val="Fontepargpadro"/>
    <w:uiPriority w:val="21"/>
    <w:qFormat/>
    <w:rsid w:val="00DD089F"/>
    <w:rPr>
      <w:i/>
      <w:iCs/>
      <w:color w:val="2F5496" w:themeColor="accent1" w:themeShade="BF"/>
    </w:rPr>
  </w:style>
  <w:style w:type="paragraph" w:styleId="CitaoIntensa">
    <w:name w:val="Intense Quote"/>
    <w:basedOn w:val="Normal"/>
    <w:next w:val="Normal"/>
    <w:link w:val="CitaoIntensaChar"/>
    <w:uiPriority w:val="30"/>
    <w:qFormat/>
    <w:rsid w:val="00DD089F"/>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DD089F"/>
    <w:rPr>
      <w:i/>
      <w:iCs/>
      <w:color w:val="2F5496" w:themeColor="accent1" w:themeShade="BF"/>
      <w:kern w:val="2"/>
      <w:sz w:val="24"/>
      <w:szCs w:val="24"/>
      <w14:ligatures w14:val="standardContextual"/>
    </w:rPr>
  </w:style>
  <w:style w:type="character" w:styleId="RefernciaIntensa">
    <w:name w:val="Intense Reference"/>
    <w:basedOn w:val="Fontepargpadro"/>
    <w:uiPriority w:val="32"/>
    <w:qFormat/>
    <w:rsid w:val="00DD089F"/>
    <w:rPr>
      <w:b/>
      <w:bCs/>
      <w:smallCaps/>
      <w:color w:val="2F5496" w:themeColor="accent1" w:themeShade="BF"/>
      <w:spacing w:val="5"/>
    </w:rPr>
  </w:style>
  <w:style w:type="paragraph" w:styleId="Textodebalo">
    <w:name w:val="Balloon Text"/>
    <w:basedOn w:val="Normal"/>
    <w:link w:val="TextodebaloChar"/>
    <w:uiPriority w:val="99"/>
    <w:semiHidden/>
    <w:unhideWhenUsed/>
    <w:rsid w:val="001F657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F6577"/>
    <w:rPr>
      <w:rFonts w:ascii="Segoe UI" w:hAnsi="Segoe UI" w:cs="Segoe UI"/>
      <w:sz w:val="18"/>
      <w:szCs w:val="18"/>
    </w:rPr>
  </w:style>
  <w:style w:type="paragraph" w:styleId="NormalWeb">
    <w:name w:val="Normal (Web)"/>
    <w:basedOn w:val="Normal"/>
    <w:uiPriority w:val="99"/>
    <w:semiHidden/>
    <w:unhideWhenUsed/>
    <w:rsid w:val="002B7D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kpscreenreader">
    <w:name w:val="pkp_screen_reader"/>
    <w:basedOn w:val="Fontepargpadro"/>
    <w:rsid w:val="00CA7CF7"/>
  </w:style>
  <w:style w:type="character" w:customStyle="1" w:styleId="label">
    <w:name w:val="label"/>
    <w:basedOn w:val="Fontepargpadro"/>
    <w:rsid w:val="00C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74900">
      <w:bodyDiv w:val="1"/>
      <w:marLeft w:val="0"/>
      <w:marRight w:val="0"/>
      <w:marTop w:val="0"/>
      <w:marBottom w:val="0"/>
      <w:divBdr>
        <w:top w:val="none" w:sz="0" w:space="0" w:color="auto"/>
        <w:left w:val="none" w:sz="0" w:space="0" w:color="auto"/>
        <w:bottom w:val="none" w:sz="0" w:space="0" w:color="auto"/>
        <w:right w:val="none" w:sz="0" w:space="0" w:color="auto"/>
      </w:divBdr>
    </w:div>
    <w:div w:id="208031005">
      <w:bodyDiv w:val="1"/>
      <w:marLeft w:val="0"/>
      <w:marRight w:val="0"/>
      <w:marTop w:val="0"/>
      <w:marBottom w:val="0"/>
      <w:divBdr>
        <w:top w:val="none" w:sz="0" w:space="0" w:color="auto"/>
        <w:left w:val="none" w:sz="0" w:space="0" w:color="auto"/>
        <w:bottom w:val="none" w:sz="0" w:space="0" w:color="auto"/>
        <w:right w:val="none" w:sz="0" w:space="0" w:color="auto"/>
      </w:divBdr>
    </w:div>
    <w:div w:id="284894906">
      <w:bodyDiv w:val="1"/>
      <w:marLeft w:val="0"/>
      <w:marRight w:val="0"/>
      <w:marTop w:val="0"/>
      <w:marBottom w:val="0"/>
      <w:divBdr>
        <w:top w:val="none" w:sz="0" w:space="0" w:color="auto"/>
        <w:left w:val="none" w:sz="0" w:space="0" w:color="auto"/>
        <w:bottom w:val="none" w:sz="0" w:space="0" w:color="auto"/>
        <w:right w:val="none" w:sz="0" w:space="0" w:color="auto"/>
      </w:divBdr>
      <w:divsChild>
        <w:div w:id="1325469568">
          <w:marLeft w:val="0"/>
          <w:marRight w:val="0"/>
          <w:marTop w:val="0"/>
          <w:marBottom w:val="0"/>
          <w:divBdr>
            <w:top w:val="none" w:sz="0" w:space="0" w:color="auto"/>
            <w:left w:val="none" w:sz="0" w:space="0" w:color="auto"/>
            <w:bottom w:val="none" w:sz="0" w:space="0" w:color="auto"/>
            <w:right w:val="none" w:sz="0" w:space="0" w:color="auto"/>
          </w:divBdr>
        </w:div>
      </w:divsChild>
    </w:div>
    <w:div w:id="1157528711">
      <w:bodyDiv w:val="1"/>
      <w:marLeft w:val="0"/>
      <w:marRight w:val="0"/>
      <w:marTop w:val="0"/>
      <w:marBottom w:val="0"/>
      <w:divBdr>
        <w:top w:val="none" w:sz="0" w:space="0" w:color="auto"/>
        <w:left w:val="none" w:sz="0" w:space="0" w:color="auto"/>
        <w:bottom w:val="none" w:sz="0" w:space="0" w:color="auto"/>
        <w:right w:val="none" w:sz="0" w:space="0" w:color="auto"/>
      </w:divBdr>
    </w:div>
    <w:div w:id="1379862493">
      <w:bodyDiv w:val="1"/>
      <w:marLeft w:val="0"/>
      <w:marRight w:val="0"/>
      <w:marTop w:val="0"/>
      <w:marBottom w:val="0"/>
      <w:divBdr>
        <w:top w:val="none" w:sz="0" w:space="0" w:color="auto"/>
        <w:left w:val="none" w:sz="0" w:space="0" w:color="auto"/>
        <w:bottom w:val="none" w:sz="0" w:space="0" w:color="auto"/>
        <w:right w:val="none" w:sz="0" w:space="0" w:color="auto"/>
      </w:divBdr>
    </w:div>
    <w:div w:id="1417703757">
      <w:bodyDiv w:val="1"/>
      <w:marLeft w:val="0"/>
      <w:marRight w:val="0"/>
      <w:marTop w:val="0"/>
      <w:marBottom w:val="0"/>
      <w:divBdr>
        <w:top w:val="none" w:sz="0" w:space="0" w:color="auto"/>
        <w:left w:val="none" w:sz="0" w:space="0" w:color="auto"/>
        <w:bottom w:val="none" w:sz="0" w:space="0" w:color="auto"/>
        <w:right w:val="none" w:sz="0" w:space="0" w:color="auto"/>
      </w:divBdr>
    </w:div>
    <w:div w:id="1478493096">
      <w:bodyDiv w:val="1"/>
      <w:marLeft w:val="0"/>
      <w:marRight w:val="0"/>
      <w:marTop w:val="0"/>
      <w:marBottom w:val="0"/>
      <w:divBdr>
        <w:top w:val="none" w:sz="0" w:space="0" w:color="auto"/>
        <w:left w:val="none" w:sz="0" w:space="0" w:color="auto"/>
        <w:bottom w:val="none" w:sz="0" w:space="0" w:color="auto"/>
        <w:right w:val="none" w:sz="0" w:space="0" w:color="auto"/>
      </w:divBdr>
    </w:div>
    <w:div w:id="1560510386">
      <w:bodyDiv w:val="1"/>
      <w:marLeft w:val="0"/>
      <w:marRight w:val="0"/>
      <w:marTop w:val="0"/>
      <w:marBottom w:val="0"/>
      <w:divBdr>
        <w:top w:val="none" w:sz="0" w:space="0" w:color="auto"/>
        <w:left w:val="none" w:sz="0" w:space="0" w:color="auto"/>
        <w:bottom w:val="none" w:sz="0" w:space="0" w:color="auto"/>
        <w:right w:val="none" w:sz="0" w:space="0" w:color="auto"/>
      </w:divBdr>
    </w:div>
    <w:div w:id="1738242717">
      <w:bodyDiv w:val="1"/>
      <w:marLeft w:val="0"/>
      <w:marRight w:val="0"/>
      <w:marTop w:val="0"/>
      <w:marBottom w:val="0"/>
      <w:divBdr>
        <w:top w:val="none" w:sz="0" w:space="0" w:color="auto"/>
        <w:left w:val="none" w:sz="0" w:space="0" w:color="auto"/>
        <w:bottom w:val="none" w:sz="0" w:space="0" w:color="auto"/>
        <w:right w:val="none" w:sz="0" w:space="0" w:color="auto"/>
      </w:divBdr>
    </w:div>
    <w:div w:id="1907452382">
      <w:bodyDiv w:val="1"/>
      <w:marLeft w:val="0"/>
      <w:marRight w:val="0"/>
      <w:marTop w:val="0"/>
      <w:marBottom w:val="0"/>
      <w:divBdr>
        <w:top w:val="none" w:sz="0" w:space="0" w:color="auto"/>
        <w:left w:val="none" w:sz="0" w:space="0" w:color="auto"/>
        <w:bottom w:val="none" w:sz="0" w:space="0" w:color="auto"/>
        <w:right w:val="none" w:sz="0" w:space="0" w:color="auto"/>
      </w:divBdr>
      <w:divsChild>
        <w:div w:id="776633093">
          <w:marLeft w:val="0"/>
          <w:marRight w:val="0"/>
          <w:marTop w:val="0"/>
          <w:marBottom w:val="0"/>
          <w:divBdr>
            <w:top w:val="none" w:sz="0" w:space="0" w:color="auto"/>
            <w:left w:val="none" w:sz="0" w:space="0" w:color="auto"/>
            <w:bottom w:val="none" w:sz="0" w:space="0" w:color="auto"/>
            <w:right w:val="none" w:sz="0" w:space="0" w:color="auto"/>
          </w:divBdr>
        </w:div>
        <w:div w:id="713773161">
          <w:marLeft w:val="0"/>
          <w:marRight w:val="0"/>
          <w:marTop w:val="0"/>
          <w:marBottom w:val="0"/>
          <w:divBdr>
            <w:top w:val="none" w:sz="0" w:space="0" w:color="auto"/>
            <w:left w:val="none" w:sz="0" w:space="0" w:color="auto"/>
            <w:bottom w:val="none" w:sz="0" w:space="0" w:color="auto"/>
            <w:right w:val="none" w:sz="0" w:space="0" w:color="auto"/>
          </w:divBdr>
        </w:div>
      </w:divsChild>
    </w:div>
    <w:div w:id="1913928747">
      <w:bodyDiv w:val="1"/>
      <w:marLeft w:val="0"/>
      <w:marRight w:val="0"/>
      <w:marTop w:val="0"/>
      <w:marBottom w:val="0"/>
      <w:divBdr>
        <w:top w:val="none" w:sz="0" w:space="0" w:color="auto"/>
        <w:left w:val="none" w:sz="0" w:space="0" w:color="auto"/>
        <w:bottom w:val="none" w:sz="0" w:space="0" w:color="auto"/>
        <w:right w:val="none" w:sz="0" w:space="0" w:color="auto"/>
      </w:divBdr>
    </w:div>
    <w:div w:id="1931503181">
      <w:bodyDiv w:val="1"/>
      <w:marLeft w:val="0"/>
      <w:marRight w:val="0"/>
      <w:marTop w:val="0"/>
      <w:marBottom w:val="0"/>
      <w:divBdr>
        <w:top w:val="none" w:sz="0" w:space="0" w:color="auto"/>
        <w:left w:val="none" w:sz="0" w:space="0" w:color="auto"/>
        <w:bottom w:val="none" w:sz="0" w:space="0" w:color="auto"/>
        <w:right w:val="none" w:sz="0" w:space="0" w:color="auto"/>
      </w:divBdr>
    </w:div>
    <w:div w:id="2055083624">
      <w:bodyDiv w:val="1"/>
      <w:marLeft w:val="0"/>
      <w:marRight w:val="0"/>
      <w:marTop w:val="0"/>
      <w:marBottom w:val="0"/>
      <w:divBdr>
        <w:top w:val="none" w:sz="0" w:space="0" w:color="auto"/>
        <w:left w:val="none" w:sz="0" w:space="0" w:color="auto"/>
        <w:bottom w:val="none" w:sz="0" w:space="0" w:color="auto"/>
        <w:right w:val="none" w:sz="0" w:space="0" w:color="auto"/>
      </w:divBdr>
    </w:div>
    <w:div w:id="2142768900">
      <w:bodyDiv w:val="1"/>
      <w:marLeft w:val="0"/>
      <w:marRight w:val="0"/>
      <w:marTop w:val="0"/>
      <w:marBottom w:val="0"/>
      <w:divBdr>
        <w:top w:val="none" w:sz="0" w:space="0" w:color="auto"/>
        <w:left w:val="none" w:sz="0" w:space="0" w:color="auto"/>
        <w:bottom w:val="none" w:sz="0" w:space="0" w:color="auto"/>
        <w:right w:val="none" w:sz="0" w:space="0" w:color="auto"/>
      </w:divBdr>
      <w:divsChild>
        <w:div w:id="119542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yvShgLQtCow?si=aPJ4MtAD_foLp4pK" TargetMode="External"/><Relationship Id="rId117" Type="http://schemas.openxmlformats.org/officeDocument/2006/relationships/hyperlink" Target="https://www.planalto.gov.br/ccivil_03/leis/l9394.htm" TargetMode="External"/><Relationship Id="rId21" Type="http://schemas.openxmlformats.org/officeDocument/2006/relationships/hyperlink" Target="https://youtu.be/0UmtrCGlFgU?si=26K4k0xAT_NyXMnd" TargetMode="External"/><Relationship Id="rId42" Type="http://schemas.openxmlformats.org/officeDocument/2006/relationships/hyperlink" Target="https://www.aljazeera.com/opinions/2017/9/20/invention-of-the-mizrahim" TargetMode="External"/><Relationship Id="rId47" Type="http://schemas.openxmlformats.org/officeDocument/2006/relationships/hyperlink" Target="https://avalon.law.yale.edu/20th_century/res181.asp.%20Acesso%20em%2012/01/2022" TargetMode="External"/><Relationship Id="rId63" Type="http://schemas.openxmlformats.org/officeDocument/2006/relationships/hyperlink" Target="https://digitallibrary.un.org/record/90717?ln=en" TargetMode="External"/><Relationship Id="rId68" Type="http://schemas.openxmlformats.org/officeDocument/2006/relationships/hyperlink" Target="https://www.theguardian.com/commentisfree/2021/may/17/palestinians-sheikh-jarrah-jerusalem-city-identity" TargetMode="External"/><Relationship Id="rId84" Type="http://schemas.openxmlformats.org/officeDocument/2006/relationships/hyperlink" Target="https://doi.org/10.1080/0966369X.2012.753586" TargetMode="External"/><Relationship Id="rId89" Type="http://schemas.openxmlformats.org/officeDocument/2006/relationships/hyperlink" Target="https://www.unrwa.org/palestine-refugees" TargetMode="External"/><Relationship Id="rId112" Type="http://schemas.openxmlformats.org/officeDocument/2006/relationships/hyperlink" Target="https://passapalavra.info/2014/05/95701" TargetMode="External"/><Relationship Id="rId133" Type="http://schemas.openxmlformats.org/officeDocument/2006/relationships/header" Target="header2.xml"/><Relationship Id="rId16" Type="http://schemas.openxmlformats.org/officeDocument/2006/relationships/hyperlink" Target="https://journals.sagepub.com/doi/abs/10.1177/0032321716654498" TargetMode="External"/><Relationship Id="rId107" Type="http://schemas.openxmlformats.org/officeDocument/2006/relationships/hyperlink" Target="https://www.marxists.org/portugues/cabral/ano/mes/97.pdf" TargetMode="External"/><Relationship Id="rId11" Type="http://schemas.openxmlformats.org/officeDocument/2006/relationships/hyperlink" Target="https://theanarchistlibrary.org/library/saul-newman-spectres-of-stirner-contemporary-critique-of-idealogy" TargetMode="External"/><Relationship Id="rId32" Type="http://schemas.openxmlformats.org/officeDocument/2006/relationships/hyperlink" Target="https://www.ecowas.int/sobre-a-cedeao/?lang=pt-pt" TargetMode="External"/><Relationship Id="rId37" Type="http://schemas.openxmlformats.org/officeDocument/2006/relationships/hyperlink" Target="https://youtu.be/WLO6HIfjseU?si=_09EgH7Dvm8C0YpH" TargetMode="External"/><Relationship Id="rId53" Type="http://schemas.openxmlformats.org/officeDocument/2006/relationships/hyperlink" Target="https://www.ohchr.org/en/instruments-mechanisms/instruments/protocol-relating-status-refugees" TargetMode="External"/><Relationship Id="rId58" Type="http://schemas.openxmlformats.org/officeDocument/2006/relationships/hyperlink" Target="https://doi.org/10.2307/589337" TargetMode="External"/><Relationship Id="rId74" Type="http://schemas.openxmlformats.org/officeDocument/2006/relationships/hyperlink" Target="https://www.alhaq.org/advocacy/23099.html" TargetMode="External"/><Relationship Id="rId79" Type="http://schemas.openxmlformats.org/officeDocument/2006/relationships/hyperlink" Target="https://www.aljazeera.com/opinions/2012/12/24/zionism-anti-semitism-and-colonialism" TargetMode="External"/><Relationship Id="rId102" Type="http://schemas.openxmlformats.org/officeDocument/2006/relationships/hyperlink" Target="https://doi.org/10.1080/10669929708720097" TargetMode="External"/><Relationship Id="rId123" Type="http://schemas.openxmlformats.org/officeDocument/2006/relationships/hyperlink" Target="https://www.gov.br/mec/pt-br/pneerq" TargetMode="External"/><Relationship Id="rId128" Type="http://schemas.openxmlformats.org/officeDocument/2006/relationships/hyperlink" Target="https://doi.org/10.1590/ES.240967" TargetMode="External"/><Relationship Id="rId5" Type="http://schemas.openxmlformats.org/officeDocument/2006/relationships/webSettings" Target="webSettings.xml"/><Relationship Id="rId90" Type="http://schemas.openxmlformats.org/officeDocument/2006/relationships/hyperlink" Target="https://electronicintifada.net/content/israels-incremental-genocide-gaza-ghetto/13562" TargetMode="External"/><Relationship Id="rId95" Type="http://schemas.openxmlformats.org/officeDocument/2006/relationships/hyperlink" Target="https://jewishvoiceforpeace.org/wp-content/uploads/2016/06/Israeli-Land-Acquisition-Law-1953.pdf" TargetMode="External"/><Relationship Id="rId14" Type="http://schemas.openxmlformats.org/officeDocument/2006/relationships/hyperlink" Target="https://theanarchistlibrary.org/library/saul-newman-empiricism-pluralism-politics-deleuze-and-stirner" TargetMode="External"/><Relationship Id="rId22" Type="http://schemas.openxmlformats.org/officeDocument/2006/relationships/hyperlink" Target="https://youtu.be/kTlxifbqnhY?si=AU8rI5G5RGXQQ5Ev" TargetMode="External"/><Relationship Id="rId27" Type="http://schemas.openxmlformats.org/officeDocument/2006/relationships/hyperlink" Target="https://www.dw.com/pt-002/cimeira-r%C3%BAssia-%C3%A1frica-h%C3%A1%20pa%C3%ADses-africanos-com-uma-d%C3%ADvida-impag%C3%A1vel-%C3%A0-r%C3%BAssia/a-66370091" TargetMode="External"/><Relationship Id="rId30" Type="http://schemas.openxmlformats.org/officeDocument/2006/relationships/hyperlink" Target="https://biblioteca.clacso.edu.ar/clacso/sur-sur/20100624103322/12_Quijano.pdf" TargetMode="External"/><Relationship Id="rId35" Type="http://schemas.openxmlformats.org/officeDocument/2006/relationships/hyperlink" Target="https://youtu.be/CAFG-PeZHKo?si=srPkqmne8ECDKtM8" TargetMode="External"/><Relationship Id="rId43" Type="http://schemas.openxmlformats.org/officeDocument/2006/relationships/hyperlink" Target="https://doi.org/10.1080/19436149.2023.2191401" TargetMode="External"/><Relationship Id="rId48" Type="http://schemas.openxmlformats.org/officeDocument/2006/relationships/hyperlink" Target="https://www.un.org/en/genocideprevention/documents/atrocity-crimes/Doc.1_Convention%20on%20the%20Prevention%20and%20Punishment%20of%20the%20Crime%20of%20Genocide.pdf" TargetMode="External"/><Relationship Id="rId56" Type="http://schemas.openxmlformats.org/officeDocument/2006/relationships/hyperlink" Target="https://doi.org/10.1080/0377919X.2021.1979376" TargetMode="External"/><Relationship Id="rId64" Type="http://schemas.openxmlformats.org/officeDocument/2006/relationships/hyperlink" Target="https://www.un.org/en/genocide-prevention/definition" TargetMode="External"/><Relationship Id="rId69" Type="http://schemas.openxmlformats.org/officeDocument/2006/relationships/hyperlink" Target="https://news.un.org/en/story/2012/11/427052" TargetMode="External"/><Relationship Id="rId77" Type="http://schemas.openxmlformats.org/officeDocument/2006/relationships/hyperlink" Target="https://doi.org/10.3366/E147494750800019X" TargetMode="External"/><Relationship Id="rId100" Type="http://schemas.openxmlformats.org/officeDocument/2006/relationships/hyperlink" Target="https://www.haaretz.com/2003-08-15/ty-article/hitching-a-ride-on-the-magic-carpet/0000017f-dc85-df62-a9ff-dcd708790000" TargetMode="External"/><Relationship Id="rId105" Type="http://schemas.openxmlformats.org/officeDocument/2006/relationships/hyperlink" Target="https://doi.org/10.1080/14623520601056240" TargetMode="External"/><Relationship Id="rId113" Type="http://schemas.openxmlformats.org/officeDocument/2006/relationships/hyperlink" Target="https://doi.org/10.1590/2176-457349790" TargetMode="External"/><Relationship Id="rId118" Type="http://schemas.openxmlformats.org/officeDocument/2006/relationships/hyperlink" Target="https://www.planalto.gov.br/ccivil_03/leis/2003/l10.639.htm" TargetMode="External"/><Relationship Id="rId126" Type="http://schemas.openxmlformats.org/officeDocument/2006/relationships/hyperlink" Target="https://www.scielo.br/j/rbedu/a/wzdqPKjymZgRKYT6hJkdQwy/?format=pdf&amp;lang=pt" TargetMode="External"/><Relationship Id="rId134"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digitallibrary.un.org/record/210373?ln=en" TargetMode="External"/><Relationship Id="rId72" Type="http://schemas.openxmlformats.org/officeDocument/2006/relationships/hyperlink" Target="https://www.reuters.com/article/us-france-shooting-israel-idUSKBN0KK0G820150111" TargetMode="External"/><Relationship Id="rId80" Type="http://schemas.openxmlformats.org/officeDocument/2006/relationships/hyperlink" Target="https://www.msf.org/life-death-trap-gaza-palestine.%20Acesso%20em%2020/12/2024" TargetMode="External"/><Relationship Id="rId85" Type="http://schemas.openxmlformats.org/officeDocument/2006/relationships/hyperlink" Target="https://www.theguardian.com/world/2006/may/12/israel1" TargetMode="External"/><Relationship Id="rId93" Type="http://schemas.openxmlformats.org/officeDocument/2006/relationships/hyperlink" Target="https://www.geocities.ws/savepalestinenow/israellaws/fulltext/statepropertylaw.htm" TargetMode="External"/><Relationship Id="rId98" Type="http://schemas.openxmlformats.org/officeDocument/2006/relationships/hyperlink" Target="https://www.un.org/unispal/document/genocide-as-colonial-erasure-report-francesca-albanese-01oct24/" TargetMode="External"/><Relationship Id="rId121" Type="http://schemas.openxmlformats.org/officeDocument/2006/relationships/hyperlink" Target="https://doi.org/10.1590/S0104-40362023003101201" TargetMode="External"/><Relationship Id="rId3" Type="http://schemas.openxmlformats.org/officeDocument/2006/relationships/styles" Target="styles.xml"/><Relationship Id="rId12" Type="http://schemas.openxmlformats.org/officeDocument/2006/relationships/hyperlink" Target="https://theanarchistlibrary.org/library/saul-newman-politics-of-the-ego-stirner-s-critique-of-liberalism" TargetMode="External"/><Relationship Id="rId17" Type="http://schemas.openxmlformats.org/officeDocument/2006/relationships/hyperlink" Target="https://research.gold.ac.uk/id/eprint/30080/3/Newman,%20S.%20(2021)%20Contagious%20Politics.%20Posthuman%20anarchism.pdf" TargetMode="External"/><Relationship Id="rId25" Type="http://schemas.openxmlformats.org/officeDocument/2006/relationships/hyperlink" Target="https://youtu.be/5J8C3P8nHY8?si=SsiNTEYhPP_4Z3Vd" TargetMode="External"/><Relationship Id="rId33" Type="http://schemas.openxmlformats.org/officeDocument/2006/relationships/hyperlink" Target="https://ciencia.ucp.pt/en/publications/%C3%A1frica-que-lideran%C3%A7as-pol%C3%ADticas-para-os-desafios-do-s%C3%A9culo-xxi" TargetMode="External"/><Relationship Id="rId38" Type="http://schemas.openxmlformats.org/officeDocument/2006/relationships/image" Target="media/image4.jpeg"/><Relationship Id="rId46" Type="http://schemas.openxmlformats.org/officeDocument/2006/relationships/hyperlink" Target="https://www.amnesty.org/en/documents/mde15/8668/2024/en/" TargetMode="External"/><Relationship Id="rId59" Type="http://schemas.openxmlformats.org/officeDocument/2006/relationships/hyperlink" Target="https://doi.org/10.1080/07256868.2015.1122578" TargetMode="External"/><Relationship Id="rId67" Type="http://schemas.openxmlformats.org/officeDocument/2006/relationships/hyperlink" Target="https://www.france24.com/en/live-news/20250207-existential-threat-what-next-for-the-icc-after-us-sanctions" TargetMode="External"/><Relationship Id="rId103" Type="http://schemas.openxmlformats.org/officeDocument/2006/relationships/hyperlink" Target="https://twitter.com/EUinIsrael/status/1651088583644594177?lang=en" TargetMode="External"/><Relationship Id="rId108" Type="http://schemas.openxmlformats.org/officeDocument/2006/relationships/hyperlink" Target="https://ppge.educacao.ufrj.br/teses2022/tThayara%20Cristine%20Silva%20de%20Lima.pdf" TargetMode="External"/><Relationship Id="rId116" Type="http://schemas.openxmlformats.org/officeDocument/2006/relationships/hyperlink" Target="https://periodicos.ufrn.br/saberes/article/view/15937" TargetMode="External"/><Relationship Id="rId124" Type="http://schemas.openxmlformats.org/officeDocument/2006/relationships/hyperlink" Target="https://doi.org/10.1590/0104-4060.65353" TargetMode="External"/><Relationship Id="rId129" Type="http://schemas.openxmlformats.org/officeDocument/2006/relationships/hyperlink" Target="https://app.uff.br/riuff/handle/1/12906" TargetMode="External"/><Relationship Id="rId20" Type="http://schemas.openxmlformats.org/officeDocument/2006/relationships/hyperlink" Target="mailto:abelcalombe@gmail.com" TargetMode="External"/><Relationship Id="rId41" Type="http://schemas.openxmlformats.org/officeDocument/2006/relationships/hyperlink" Target="https://www.lookandlearn.com/history-images/YJC0013666/Incendie-du-Cap-R%C3%A9volte-g%C3%A9n%C3%A9rale-des-N%C3%A8gres-Massacre-des-Blanca-sic" TargetMode="External"/><Relationship Id="rId54" Type="http://schemas.openxmlformats.org/officeDocument/2006/relationships/hyperlink" Target="https://www.elysee.fr/en/french-presidency/the-declaration-of-the-rights-of-man-and-of-the-citizen" TargetMode="External"/><Relationship Id="rId62" Type="http://schemas.openxmlformats.org/officeDocument/2006/relationships/hyperlink" Target="https://billofrightsinstitute.org/primary-sources/declaration-of-independence" TargetMode="External"/><Relationship Id="rId70" Type="http://schemas.openxmlformats.org/officeDocument/2006/relationships/hyperlink" Target="https://treaties.un.org/doc/Publication/UNTS/Volume%2075/volume-75-I-973-English.pdf" TargetMode="External"/><Relationship Id="rId75" Type="http://schemas.openxmlformats.org/officeDocument/2006/relationships/hyperlink" Target="https://www.dw.com/pt-002/%C3%A1frica-e-israel-uma-hist%C3%B3ria-de-altos-e-baixos/a-43456197" TargetMode="External"/><Relationship Id="rId83" Type="http://schemas.openxmlformats.org/officeDocument/2006/relationships/hyperlink" Target="https://www.newarab.com/analysis/mistaarvim-israels-notorious-undercover-agents.%20Acesso%20em%2022/05/2022" TargetMode="External"/><Relationship Id="rId88" Type="http://schemas.openxmlformats.org/officeDocument/2006/relationships/hyperlink" Target="https://haitidoi.com/constitutions/1805-2/" TargetMode="External"/><Relationship Id="rId91" Type="http://schemas.openxmlformats.org/officeDocument/2006/relationships/hyperlink" Target="https://main.knesset.gov.il/en/about/pages/declaration.aspx" TargetMode="External"/><Relationship Id="rId96" Type="http://schemas.openxmlformats.org/officeDocument/2006/relationships/hyperlink" Target="https://m.knesset.gov.il/EN/activity/Documents/SpeechPdf/merkel.pdf" TargetMode="External"/><Relationship Id="rId111" Type="http://schemas.openxmlformats.org/officeDocument/2006/relationships/hyperlink" Target="https://teoriaedebate.org.br/2013/06/27/%EF%BB%BFas-manifestacoes-de-junho-de-2013-na-cidade-de-sao-paulo/" TargetMode="External"/><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heanarchistlibrary.org/library/saul-newman-spectres-of-freedom-in-stirner-foucault-response-solitude-freedom" TargetMode="External"/><Relationship Id="rId23" Type="http://schemas.openxmlformats.org/officeDocument/2006/relationships/hyperlink" Target="https://www.dw.com/pt-002/cimeira-fran%C3%A7a-%C3%A1frica-discute-impacto-econ%C3%B3mico-da-covid-19/a-57547674.%20Acessado%20no%20dia%2017/05/2024" TargetMode="External"/><Relationship Id="rId28" Type="http://schemas.openxmlformats.org/officeDocument/2006/relationships/hyperlink" Target="https://youtu.be/2KraeN7MG5Y?si=sxbCmagu2hPGNQH7" TargetMode="External"/><Relationship Id="rId36" Type="http://schemas.openxmlformats.org/officeDocument/2006/relationships/hyperlink" Target="https://youtu.be/20u-WWjM_50?si=XJjsZRUxmRoo3Ny4" TargetMode="External"/><Relationship Id="rId49" Type="http://schemas.openxmlformats.org/officeDocument/2006/relationships/hyperlink" Target="https://www.un.org/en/about-us/universal-declaration-of-human-rights" TargetMode="External"/><Relationship Id="rId57" Type="http://schemas.openxmlformats.org/officeDocument/2006/relationships/hyperlink" Target="https://doi.org/10.1080/01419870.1981.9993322" TargetMode="External"/><Relationship Id="rId106" Type="http://schemas.openxmlformats.org/officeDocument/2006/relationships/hyperlink" Target="https://arquivo-abm.madeira.gov.pt/descriptions/1335255" TargetMode="External"/><Relationship Id="rId114" Type="http://schemas.openxmlformats.org/officeDocument/2006/relationships/hyperlink" Target="https://doi.org/10.1590/S1414-49802013000100006" TargetMode="External"/><Relationship Id="rId119" Type="http://schemas.openxmlformats.org/officeDocument/2006/relationships/hyperlink" Target="http://www.sbpcnet.org.br/livro/63ra/conpeex/mestrado/trabalhos-mestrado/mestrado-marcela%20-alves.pdf" TargetMode="External"/><Relationship Id="rId127" Type="http://schemas.openxmlformats.org/officeDocument/2006/relationships/hyperlink" Target="https://doi.org/10.5007/2177-7055.2021.e72871" TargetMode="External"/><Relationship Id="rId10" Type="http://schemas.openxmlformats.org/officeDocument/2006/relationships/image" Target="media/image3.png"/><Relationship Id="rId31" Type="http://schemas.openxmlformats.org/officeDocument/2006/relationships/hyperlink" Target="https://bdm.unb.br/handle/10483/23765" TargetMode="External"/><Relationship Id="rId44" Type="http://schemas.openxmlformats.org/officeDocument/2006/relationships/hyperlink" Target="https://www.holocaustremembrance.com/pt-pt/resources/working-definitions-charters/definicao-pratica-de-antissemitismo-da-ihra" TargetMode="External"/><Relationship Id="rId52" Type="http://schemas.openxmlformats.org/officeDocument/2006/relationships/hyperlink" Target="https://www.ohchr.org/en/instruments-mechanisms/instruments/declaration-granting-independence-colonial-countries-and-peoples" TargetMode="External"/><Relationship Id="rId60" Type="http://schemas.openxmlformats.org/officeDocument/2006/relationships/hyperlink" Target="https://www.middleeasteye.net/news/israel-why-right-wing-mizrahi-vote-misunderstood" TargetMode="External"/><Relationship Id="rId65" Type="http://schemas.openxmlformats.org/officeDocument/2006/relationships/hyperlink" Target="https://lpeproject.org/blog/jewishness-as-property-under-israeli-law/" TargetMode="External"/><Relationship Id="rId73" Type="http://schemas.openxmlformats.org/officeDocument/2006/relationships/hyperlink" Target="https://www.hrw.org/news/2024/12/19/israels-crime-extermination-acts-genocide-gaza.%20Acesso%20em%2020/12/2024" TargetMode="External"/><Relationship Id="rId78" Type="http://schemas.openxmlformats.org/officeDocument/2006/relationships/hyperlink" Target="https://doi.org/10.2307/2538006" TargetMode="External"/><Relationship Id="rId81" Type="http://schemas.openxmlformats.org/officeDocument/2006/relationships/hyperlink" Target="https://www.theguardian.com/news/2025/jan/30/israel-and-the-delusions-of-germanys-memory-culture" TargetMode="External"/><Relationship Id="rId86" Type="http://schemas.openxmlformats.org/officeDocument/2006/relationships/hyperlink" Target="https://www.youtube.com/watch?v=-DpHm3xYxXQ&amp;ab_channel=MiddleEastEye" TargetMode="External"/><Relationship Id="rId94" Type="http://schemas.openxmlformats.org/officeDocument/2006/relationships/hyperlink" Target="https://main.knesset.gov.il/EN/about/history/documents/kns2_nationality_eng.pdf" TargetMode="External"/><Relationship Id="rId99" Type="http://schemas.openxmlformats.org/officeDocument/2006/relationships/hyperlink" Target="https://www.esquerdadiario.com.br/A-Abolicao-da-escravidao-e-o-medo-da-haitianizacao-no-Brasil.%20Acesso%20em%2031/03/2023" TargetMode="External"/><Relationship Id="rId101" Type="http://schemas.openxmlformats.org/officeDocument/2006/relationships/hyperlink" Target="https://doi.org/10.2307/2676427" TargetMode="External"/><Relationship Id="rId122" Type="http://schemas.openxmlformats.org/officeDocument/2006/relationships/hyperlink" Target="https://acervo.paulofreire.org/handle/7891/1357" TargetMode="External"/><Relationship Id="rId130" Type="http://schemas.openxmlformats.org/officeDocument/2006/relationships/hyperlink" Target="https://doi.org/10.1590/0103-6564e220066"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https://theanarchistlibrary.org/library/saul-newman-stirner-and-foucault-toward-a-post-kantian-freedom%20Acesso%20em%2029/04/2025" TargetMode="External"/><Relationship Id="rId18" Type="http://schemas.openxmlformats.org/officeDocument/2006/relationships/hyperlink" Target="https://theanarchistlibrary.org/library/saul-newman-insurrection-or-revolution" TargetMode="External"/><Relationship Id="rId39" Type="http://schemas.openxmlformats.org/officeDocument/2006/relationships/hyperlink" Target="https://www.flickr.com/photos/government_press_office/7078991869" TargetMode="External"/><Relationship Id="rId109" Type="http://schemas.openxmlformats.org/officeDocument/2006/relationships/hyperlink" Target="https://repositorio.ufmg.br/handle/1843/43714" TargetMode="External"/><Relationship Id="rId34" Type="http://schemas.openxmlformats.org/officeDocument/2006/relationships/hyperlink" Target="https://www.dw.com/pt-002/terrorismo-em-cabo-delgado/t-55180646" TargetMode="External"/><Relationship Id="rId50" Type="http://schemas.openxmlformats.org/officeDocument/2006/relationships/hyperlink" Target="https://www.un.org/unispal/wp-content/uploads/2016/06/ARES194III.pdf" TargetMode="External"/><Relationship Id="rId55" Type="http://schemas.openxmlformats.org/officeDocument/2006/relationships/hyperlink" Target="https://www.britannica.com/topic/Ashkenazi" TargetMode="External"/><Relationship Id="rId76" Type="http://schemas.openxmlformats.org/officeDocument/2006/relationships/hyperlink" Target="https://www.euronews.com/my-europe/2022/10/19/josep-borrell-apologises-for-controversial-garden-vs-jungle-metaphor-but-stands-his-ground" TargetMode="External"/><Relationship Id="rId97" Type="http://schemas.openxmlformats.org/officeDocument/2006/relationships/hyperlink" Target="https://www.reaganlibrary.gov/archives/speech/farewell-address-nation" TargetMode="External"/><Relationship Id="rId104" Type="http://schemas.openxmlformats.org/officeDocument/2006/relationships/hyperlink" Target="https://www.icj-cij.org/sites/default/files/case-related/192/192-20231228-app-01-00-en.pdf" TargetMode="External"/><Relationship Id="rId120" Type="http://schemas.openxmlformats.org/officeDocument/2006/relationships/hyperlink" Target="https://doi.org/10.1590/S0102-37722002000200009" TargetMode="External"/><Relationship Id="rId125" Type="http://schemas.openxmlformats.org/officeDocument/2006/relationships/hyperlink" Target="https://doi.org/10.1590/interface.210196" TargetMode="External"/><Relationship Id="rId7" Type="http://schemas.openxmlformats.org/officeDocument/2006/relationships/endnotes" Target="endnotes.xml"/><Relationship Id="rId71" Type="http://schemas.openxmlformats.org/officeDocument/2006/relationships/hyperlink" Target="https://doi.org/10.2307/1341787" TargetMode="External"/><Relationship Id="rId92" Type="http://schemas.openxmlformats.org/officeDocument/2006/relationships/hyperlink" Target="https://www.adalah.org/uploads/oldfiles/Public/files/Discriminatory-Laws-Database/English/04-Absentees-Property-Law-1950.pdf" TargetMode="External"/><Relationship Id="rId2" Type="http://schemas.openxmlformats.org/officeDocument/2006/relationships/numbering" Target="numbering.xml"/><Relationship Id="rId29" Type="http://schemas.openxmlformats.org/officeDocument/2006/relationships/hyperlink" Target="https://youtu.be/5GBCf0ItYRw?si=WEwHYkA3kI5I9NXr" TargetMode="External"/><Relationship Id="rId24" Type="http://schemas.openxmlformats.org/officeDocument/2006/relationships/hyperlink" Target="https://pt.euronews.com/2022/06/21/conflito-entre-republica-democratica-do-congo-e-ruanda-e-antigo" TargetMode="External"/><Relationship Id="rId40" Type="http://schemas.openxmlformats.org/officeDocument/2006/relationships/image" Target="media/image5.jpeg"/><Relationship Id="rId45" Type="http://schemas.openxmlformats.org/officeDocument/2006/relationships/hyperlink" Target="https://www.reuters.com/article/technology/germany-designates-bds-israel-boycott-movement-as-anti-semitic-idUSL5N22T4OA/" TargetMode="External"/><Relationship Id="rId66" Type="http://schemas.openxmlformats.org/officeDocument/2006/relationships/hyperlink" Target="https://www.ejiltalk.org/beyond-discrimination-apartheid-is-a-colonial-project-and-zionism-is-a-form-of-racism/" TargetMode="External"/><Relationship Id="rId87" Type="http://schemas.openxmlformats.org/officeDocument/2006/relationships/hyperlink" Target="https://www.youtube.com/watch?v=FHPpslWdj7c&amp;ab_channel=BloombergQuicktake" TargetMode="External"/><Relationship Id="rId110" Type="http://schemas.openxmlformats.org/officeDocument/2006/relationships/hyperlink" Target="http://lattes.cnpq.br/7243194161524498" TargetMode="External"/><Relationship Id="rId115" Type="http://schemas.openxmlformats.org/officeDocument/2006/relationships/hyperlink" Target="https://www.ufrgs.br/cdrom/oandrade/oandrade.pdf" TargetMode="External"/><Relationship Id="rId131" Type="http://schemas.openxmlformats.org/officeDocument/2006/relationships/header" Target="header1.xml"/><Relationship Id="rId61" Type="http://schemas.openxmlformats.org/officeDocument/2006/relationships/hyperlink" Target="https://www.un.org/unispal/document/auto-insert-210170/" TargetMode="External"/><Relationship Id="rId82" Type="http://schemas.openxmlformats.org/officeDocument/2006/relationships/hyperlink" Target="https://www.lrb.co.uk/the-paper/v46/n06/pankaj-mishra/the-shoah-after-gaza" TargetMode="External"/><Relationship Id="rId19" Type="http://schemas.openxmlformats.org/officeDocument/2006/relationships/hyperlink" Target="https://theanarchistlibrary.org/library/max-stirner-stirner-s-critics%20Acesso%20em%2017/05/202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youtu.be/kTlxifbqnhY?si=AU8rI5G5RGXQQ5Ev" TargetMode="External"/><Relationship Id="rId13" Type="http://schemas.openxmlformats.org/officeDocument/2006/relationships/hyperlink" Target="https://youtu.be/CAFG-PeZHKo?si=srPkqmne8ECDKtM8" TargetMode="External"/><Relationship Id="rId3" Type="http://schemas.openxmlformats.org/officeDocument/2006/relationships/hyperlink" Target="https://youtu.be/0UmtrCGlFgU?si=26K4k0xAT_NyXMnd" TargetMode="External"/><Relationship Id="rId7" Type="http://schemas.openxmlformats.org/officeDocument/2006/relationships/hyperlink" Target="https://youtu.be/2KraeN7MG5Y?si=sxbCmagu2hPGNQH7" TargetMode="External"/><Relationship Id="rId12" Type="http://schemas.openxmlformats.org/officeDocument/2006/relationships/hyperlink" Target="https://youtu.be/20u-WWjM_50?si=XJjsZRUxmRoo3Ny4" TargetMode="External"/><Relationship Id="rId2" Type="http://schemas.openxmlformats.org/officeDocument/2006/relationships/hyperlink" Target="https://youtu.be/yvShgLQtCow?si=aPJ4MtAD_foLp4pK" TargetMode="External"/><Relationship Id="rId1" Type="http://schemas.openxmlformats.org/officeDocument/2006/relationships/hyperlink" Target="https://youtu.be/WLO6HIfjseU?si=_09EgH7Dvm8C0YpH" TargetMode="External"/><Relationship Id="rId6" Type="http://schemas.openxmlformats.org/officeDocument/2006/relationships/hyperlink" Target="https://www.ecowas.int/sobre-a-cedeao/?lang=pt-pt" TargetMode="External"/><Relationship Id="rId11" Type="http://schemas.openxmlformats.org/officeDocument/2006/relationships/hyperlink" Target="https://youtu.be/5GBCf0ItYRw?si=WEwHYkA3kI5I9NXr" TargetMode="External"/><Relationship Id="rId5" Type="http://schemas.openxmlformats.org/officeDocument/2006/relationships/hyperlink" Target="https://www.dw.com/pt-002/terrorismo-em-cabo-delgado/t-55180646" TargetMode="External"/><Relationship Id="rId15" Type="http://schemas.openxmlformats.org/officeDocument/2006/relationships/hyperlink" Target="https://www.youtube.com/live/3Q_d-lODI6s?si=At6oK1N4esQwzJzY" TargetMode="External"/><Relationship Id="rId10" Type="http://schemas.openxmlformats.org/officeDocument/2006/relationships/hyperlink" Target="https://www.dw.com/pt-002/cimeira-r%C3%BAssia-%C3%A1frica-h%C3%A1-pa%C3%ADses-africanos-com-uma-d%C3%ADvida-impag%C3%A1vel-%C3%A0-r%C3%BAssia/a-66370091" TargetMode="External"/><Relationship Id="rId4" Type="http://schemas.openxmlformats.org/officeDocument/2006/relationships/hyperlink" Target="https://pt.euronews.com/2022/06/21/conflito-entre-republica-democratica-do-congo-e-ruanda-e-antigo" TargetMode="External"/><Relationship Id="rId9" Type="http://schemas.openxmlformats.org/officeDocument/2006/relationships/hyperlink" Target="https://www.dw.com/pt-002/cimeira-fran%C3%A7a-%C3%A1frica-discute-impacto-econ%C3%B3mico-da-covid-19/a-57547674" TargetMode="External"/><Relationship Id="rId14" Type="http://schemas.openxmlformats.org/officeDocument/2006/relationships/hyperlink" Target="https://youtu.be/5J8C3P8nHY8?si=SsiNTEYhPP_4Z3V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9F745-9851-4569-9651-24E1FB8DD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1</Pages>
  <Words>63943</Words>
  <Characters>345295</Characters>
  <Application>Microsoft Office Word</Application>
  <DocSecurity>0</DocSecurity>
  <Lines>2877</Lines>
  <Paragraphs>816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 Borges</dc:creator>
  <cp:keywords/>
  <dc:description/>
  <cp:lastModifiedBy>Rosi Borges</cp:lastModifiedBy>
  <cp:revision>4</cp:revision>
  <cp:lastPrinted>2025-09-28T15:24:00Z</cp:lastPrinted>
  <dcterms:created xsi:type="dcterms:W3CDTF">2025-09-27T23:10:00Z</dcterms:created>
  <dcterms:modified xsi:type="dcterms:W3CDTF">2025-09-28T15:34:00Z</dcterms:modified>
</cp:coreProperties>
</file>